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E3C8E" w14:textId="6D59FB82" w:rsidR="001A27C4" w:rsidRPr="002D676E" w:rsidRDefault="001A27C4" w:rsidP="001A27C4">
      <w:pPr>
        <w:pStyle w:val="3GPPHeader"/>
        <w:spacing w:after="60"/>
        <w:rPr>
          <w:sz w:val="32"/>
          <w:szCs w:val="32"/>
          <w:highlight w:val="yellow"/>
          <w:lang w:val="en-US"/>
        </w:rPr>
      </w:pPr>
      <w:r w:rsidRPr="000A1D33">
        <w:rPr>
          <w:lang w:val="en-US"/>
        </w:rPr>
        <w:t>3GPP TSG-RAN WG1 Meeting #</w:t>
      </w:r>
      <w:r>
        <w:rPr>
          <w:lang w:val="en-US"/>
        </w:rPr>
        <w:t>9</w:t>
      </w:r>
      <w:r w:rsidR="008A721C">
        <w:rPr>
          <w:lang w:val="en-US"/>
        </w:rPr>
        <w:t>3</w:t>
      </w:r>
      <w:r w:rsidRPr="002D676E">
        <w:rPr>
          <w:lang w:val="en-US"/>
        </w:rPr>
        <w:tab/>
      </w:r>
      <w:r w:rsidRPr="002D676E">
        <w:rPr>
          <w:sz w:val="32"/>
          <w:szCs w:val="32"/>
          <w:lang w:val="en-US"/>
        </w:rPr>
        <w:t xml:space="preserve"> R1-</w:t>
      </w:r>
      <w:r w:rsidR="008A721C" w:rsidRPr="008A721C">
        <w:rPr>
          <w:sz w:val="32"/>
          <w:szCs w:val="32"/>
          <w:lang w:val="en-US"/>
        </w:rPr>
        <w:t>1806011</w:t>
      </w:r>
    </w:p>
    <w:p w14:paraId="445612D0" w14:textId="325B7048" w:rsidR="001A27C4" w:rsidRPr="002D676E" w:rsidRDefault="008A721C" w:rsidP="001A27C4">
      <w:pPr>
        <w:pStyle w:val="3GPPHeader"/>
        <w:rPr>
          <w:lang w:val="en-US"/>
        </w:rPr>
      </w:pPr>
      <w:r w:rsidRPr="008A721C">
        <w:rPr>
          <w:lang w:val="en-US"/>
        </w:rPr>
        <w:t>Busan, Korea, May 21st – 25th, 2018</w:t>
      </w:r>
      <w:r w:rsidR="00432B70" w:rsidRPr="00432B70">
        <w:t xml:space="preserve"> </w:t>
      </w:r>
      <w:r w:rsidR="00432B70">
        <w:tab/>
        <w:t xml:space="preserve">Revision of </w:t>
      </w:r>
      <w:r w:rsidR="00432B70" w:rsidRPr="00432B70">
        <w:rPr>
          <w:lang w:val="en-US"/>
        </w:rPr>
        <w:t>R1-1803928</w:t>
      </w:r>
      <w:bookmarkStart w:id="0" w:name="_GoBack"/>
      <w:bookmarkEnd w:id="0"/>
    </w:p>
    <w:p w14:paraId="351C9FE3" w14:textId="77777777" w:rsidR="001A27C4" w:rsidRPr="002D676E" w:rsidRDefault="001A27C4" w:rsidP="001A27C4">
      <w:pPr>
        <w:pStyle w:val="3GPPHeader"/>
        <w:rPr>
          <w:lang w:val="en-US"/>
        </w:rPr>
      </w:pPr>
    </w:p>
    <w:p w14:paraId="262E97A4" w14:textId="1B78A324" w:rsidR="001A27C4" w:rsidRPr="009832EA" w:rsidRDefault="001A27C4" w:rsidP="001A27C4">
      <w:pPr>
        <w:pStyle w:val="3GPPHeader"/>
        <w:rPr>
          <w:sz w:val="22"/>
        </w:rPr>
      </w:pPr>
      <w:r w:rsidRPr="009832EA">
        <w:rPr>
          <w:sz w:val="22"/>
        </w:rPr>
        <w:t>Agenda Item:</w:t>
      </w:r>
      <w:r w:rsidRPr="009832EA">
        <w:rPr>
          <w:sz w:val="22"/>
        </w:rPr>
        <w:tab/>
      </w:r>
      <w:r w:rsidR="00BE21BD">
        <w:rPr>
          <w:sz w:val="22"/>
        </w:rPr>
        <w:t>7.2.</w:t>
      </w:r>
      <w:r w:rsidR="008A721C">
        <w:rPr>
          <w:sz w:val="22"/>
        </w:rPr>
        <w:t>2</w:t>
      </w:r>
    </w:p>
    <w:p w14:paraId="684B06A7" w14:textId="77777777" w:rsidR="00E90E49" w:rsidRPr="0063438F" w:rsidRDefault="003D3C45" w:rsidP="00F64C2B">
      <w:pPr>
        <w:pStyle w:val="3GPPHeader"/>
        <w:rPr>
          <w:sz w:val="22"/>
          <w:lang w:val="en-US"/>
        </w:rPr>
      </w:pPr>
      <w:r w:rsidRPr="0063438F">
        <w:rPr>
          <w:sz w:val="22"/>
          <w:lang w:val="en-US"/>
        </w:rPr>
        <w:t>Source:</w:t>
      </w:r>
      <w:r w:rsidR="00E90E49" w:rsidRPr="0063438F">
        <w:rPr>
          <w:sz w:val="22"/>
          <w:lang w:val="en-US"/>
        </w:rPr>
        <w:tab/>
      </w:r>
      <w:r w:rsidR="00F64C2B" w:rsidRPr="0063438F">
        <w:rPr>
          <w:sz w:val="22"/>
          <w:lang w:val="en-US"/>
        </w:rPr>
        <w:t>Ericsson</w:t>
      </w:r>
    </w:p>
    <w:p w14:paraId="214B1E52" w14:textId="1DBC7CA5" w:rsidR="00E90E49" w:rsidRPr="0063438F" w:rsidRDefault="003D3C45" w:rsidP="00547F4D">
      <w:pPr>
        <w:pStyle w:val="3GPPHeader"/>
        <w:ind w:left="1701" w:hanging="1701"/>
        <w:rPr>
          <w:sz w:val="22"/>
          <w:lang w:val="en-US"/>
        </w:rPr>
      </w:pPr>
      <w:r w:rsidRPr="0063438F">
        <w:rPr>
          <w:sz w:val="22"/>
          <w:lang w:val="en-US"/>
        </w:rPr>
        <w:t>Title:</w:t>
      </w:r>
      <w:r w:rsidR="006B5B0F" w:rsidRPr="0063438F">
        <w:rPr>
          <w:sz w:val="22"/>
          <w:lang w:val="en-US"/>
        </w:rPr>
        <w:tab/>
      </w:r>
      <w:r w:rsidR="00A8672A" w:rsidRPr="00A8672A">
        <w:rPr>
          <w:sz w:val="22"/>
          <w:lang w:val="en-US"/>
        </w:rPr>
        <w:t>On Transmit Diversity for Ultra-high Reliability Use Cases</w:t>
      </w:r>
    </w:p>
    <w:p w14:paraId="248031E0" w14:textId="0679853E" w:rsidR="00E90E49" w:rsidRPr="0011628C" w:rsidRDefault="00E90E49" w:rsidP="0011628C">
      <w:pPr>
        <w:pStyle w:val="3GPPHeader"/>
        <w:rPr>
          <w:sz w:val="22"/>
        </w:rPr>
      </w:pPr>
      <w:r w:rsidRPr="00CE0424">
        <w:rPr>
          <w:sz w:val="22"/>
        </w:rPr>
        <w:t>Document for:</w:t>
      </w:r>
      <w:r w:rsidRPr="00CE0424">
        <w:rPr>
          <w:sz w:val="22"/>
        </w:rPr>
        <w:tab/>
      </w:r>
      <w:r w:rsidR="006F3D5D">
        <w:rPr>
          <w:sz w:val="22"/>
        </w:rPr>
        <w:t>Information</w:t>
      </w:r>
    </w:p>
    <w:p w14:paraId="65062EEC" w14:textId="77777777" w:rsidR="00E90E49" w:rsidRPr="00CE0424" w:rsidRDefault="00E90E49" w:rsidP="00CE0424">
      <w:pPr>
        <w:pStyle w:val="Heading1"/>
      </w:pPr>
      <w:r w:rsidRPr="00CE0424">
        <w:t>Introduction</w:t>
      </w:r>
    </w:p>
    <w:p w14:paraId="7FF25739" w14:textId="77777777" w:rsidR="001E5C09" w:rsidRPr="0063438F" w:rsidRDefault="00B34C69" w:rsidP="001E5C09">
      <w:pPr>
        <w:pStyle w:val="BodyText"/>
        <w:rPr>
          <w:lang w:val="en-US"/>
        </w:rPr>
      </w:pPr>
      <w:r w:rsidRPr="0063438F">
        <w:rPr>
          <w:lang w:val="en-US"/>
        </w:rPr>
        <w:t xml:space="preserve">According to [1], RAN1 should identify techniques for supporting the ultra-reliable part of URLLC requirements set forth in [2] starting in RAN1 NR Ad-hoc#2 meeting in June 2017. </w:t>
      </w:r>
    </w:p>
    <w:p w14:paraId="3626442C" w14:textId="6C8F2721" w:rsidR="006962DF" w:rsidRPr="0063438F" w:rsidRDefault="001E5C09" w:rsidP="00CE0424">
      <w:pPr>
        <w:pStyle w:val="BodyText"/>
        <w:rPr>
          <w:lang w:val="en-US"/>
        </w:rPr>
      </w:pPr>
      <w:r w:rsidRPr="0063438F">
        <w:rPr>
          <w:lang w:val="en-US"/>
        </w:rPr>
        <w:t>In this contribution, we discuss some transmit diversity schemes and provide evaluation results focusing on high reliability use cases/URLLC, e.g., cyclic delay diversity (CDD) for PDSCH and SFBC</w:t>
      </w:r>
      <w:r w:rsidR="00B41BC4" w:rsidRPr="0063438F">
        <w:rPr>
          <w:lang w:val="en-US"/>
        </w:rPr>
        <w:t>/CDD</w:t>
      </w:r>
      <w:r w:rsidRPr="0063438F">
        <w:rPr>
          <w:lang w:val="en-US"/>
        </w:rPr>
        <w:t xml:space="preserve"> for short PUCCH. </w:t>
      </w:r>
    </w:p>
    <w:p w14:paraId="5925009D" w14:textId="7EFB3918" w:rsidR="004000E8" w:rsidRPr="00CE0424" w:rsidRDefault="004000E8" w:rsidP="00CE0424">
      <w:pPr>
        <w:pStyle w:val="Heading1"/>
      </w:pPr>
      <w:bookmarkStart w:id="1" w:name="_Ref178064866"/>
      <w:r w:rsidRPr="00CE0424">
        <w:t>Discussion</w:t>
      </w:r>
      <w:bookmarkEnd w:id="1"/>
    </w:p>
    <w:p w14:paraId="73F216DA" w14:textId="037335E8" w:rsidR="006E7835" w:rsidRDefault="00F56165" w:rsidP="00F56165">
      <w:pPr>
        <w:rPr>
          <w:lang w:val="en-US"/>
        </w:rPr>
      </w:pPr>
      <w:r w:rsidRPr="00F56165">
        <w:rPr>
          <w:lang w:val="en-US"/>
        </w:rPr>
        <w:t>URLLC reliability requirement is much stricter than eMBB</w:t>
      </w:r>
      <w:r w:rsidR="00AA37EF">
        <w:rPr>
          <w:lang w:val="en-US"/>
        </w:rPr>
        <w:t xml:space="preserve">, i.e., </w:t>
      </w:r>
      <w:r w:rsidR="00AA37EF" w:rsidRPr="0063438F">
        <w:rPr>
          <w:lang w:val="en-US"/>
        </w:rPr>
        <w:t>a small packet of size 32 byte should be transmitted within one-way latency of 1 ms with success probability of at least 1-10^(-5).</w:t>
      </w:r>
      <w:r w:rsidR="00AA37EF" w:rsidRPr="00AA37EF">
        <w:rPr>
          <w:lang w:val="en-US"/>
        </w:rPr>
        <w:t xml:space="preserve"> </w:t>
      </w:r>
      <w:r w:rsidR="00AA37EF">
        <w:rPr>
          <w:lang w:val="en-US"/>
        </w:rPr>
        <w:t>D</w:t>
      </w:r>
      <w:r w:rsidR="00AA37EF" w:rsidRPr="00F56165">
        <w:rPr>
          <w:lang w:val="en-US"/>
        </w:rPr>
        <w:t xml:space="preserve">iversity is the key element to achieve </w:t>
      </w:r>
      <w:r w:rsidR="00AA37EF">
        <w:rPr>
          <w:lang w:val="en-US"/>
        </w:rPr>
        <w:t>such strict reliability requirements.</w:t>
      </w:r>
    </w:p>
    <w:p w14:paraId="7E729654" w14:textId="62FEC291" w:rsidR="00F56165" w:rsidRPr="00F56165" w:rsidRDefault="00AA37EF" w:rsidP="00F56165">
      <w:pPr>
        <w:rPr>
          <w:lang w:val="en-US"/>
        </w:rPr>
      </w:pPr>
      <w:r>
        <w:rPr>
          <w:lang w:val="en-US"/>
        </w:rPr>
        <w:t xml:space="preserve">Traditional approaches to achieve diversity in time and frequency are to retransmit data multiple times and spread the data over a large bandwidth. However, these approaches </w:t>
      </w:r>
      <w:r w:rsidR="007657D1">
        <w:rPr>
          <w:lang w:val="en-US"/>
        </w:rPr>
        <w:t>are</w:t>
      </w:r>
      <w:r>
        <w:rPr>
          <w:lang w:val="en-US"/>
        </w:rPr>
        <w:t xml:space="preserve"> no longer </w:t>
      </w:r>
      <w:r w:rsidR="007657D1">
        <w:rPr>
          <w:lang w:val="en-US"/>
        </w:rPr>
        <w:t>feasible nor sufficient</w:t>
      </w:r>
      <w:r>
        <w:rPr>
          <w:lang w:val="en-US"/>
        </w:rPr>
        <w:t xml:space="preserve"> due to strict latency constraint and limited frequency resources. Other forms of diversity </w:t>
      </w:r>
      <w:r w:rsidR="007657D1">
        <w:rPr>
          <w:lang w:val="en-US"/>
        </w:rPr>
        <w:t>are</w:t>
      </w:r>
      <w:r>
        <w:rPr>
          <w:lang w:val="en-US"/>
        </w:rPr>
        <w:t xml:space="preserve"> therefore required. </w:t>
      </w:r>
      <w:r w:rsidR="00F56165" w:rsidRPr="00F56165">
        <w:rPr>
          <w:lang w:val="en-US"/>
        </w:rPr>
        <w:t xml:space="preserve">Transmit diversity is </w:t>
      </w:r>
      <w:r w:rsidR="007657D1">
        <w:rPr>
          <w:lang w:val="en-US"/>
        </w:rPr>
        <w:t>an approach</w:t>
      </w:r>
      <w:r w:rsidR="00F56165" w:rsidRPr="00F56165">
        <w:rPr>
          <w:lang w:val="en-US"/>
        </w:rPr>
        <w:t xml:space="preserve"> to provide extra </w:t>
      </w:r>
      <w:r>
        <w:rPr>
          <w:lang w:val="en-US"/>
        </w:rPr>
        <w:t xml:space="preserve">spatial </w:t>
      </w:r>
      <w:r w:rsidR="00F56165" w:rsidRPr="00F56165">
        <w:rPr>
          <w:lang w:val="en-US"/>
        </w:rPr>
        <w:t>diversity</w:t>
      </w:r>
      <w:r w:rsidR="007657D1">
        <w:rPr>
          <w:lang w:val="en-US"/>
        </w:rPr>
        <w:t>. It operates</w:t>
      </w:r>
      <w:r w:rsidR="00F56165" w:rsidRPr="00F56165">
        <w:rPr>
          <w:lang w:val="en-US"/>
        </w:rPr>
        <w:t xml:space="preserve"> without </w:t>
      </w:r>
      <w:r w:rsidR="007657D1">
        <w:rPr>
          <w:lang w:val="en-US"/>
        </w:rPr>
        <w:t>the need</w:t>
      </w:r>
      <w:r w:rsidR="00F56165" w:rsidRPr="00F56165">
        <w:rPr>
          <w:lang w:val="en-US"/>
        </w:rPr>
        <w:t xml:space="preserve"> </w:t>
      </w:r>
      <w:r w:rsidR="007657D1">
        <w:rPr>
          <w:lang w:val="en-US"/>
        </w:rPr>
        <w:t>of</w:t>
      </w:r>
      <w:r w:rsidR="00F56165" w:rsidRPr="00F56165">
        <w:rPr>
          <w:lang w:val="en-US"/>
        </w:rPr>
        <w:t xml:space="preserve"> channel state information at the transmitter</w:t>
      </w:r>
      <w:r w:rsidR="007657D1">
        <w:rPr>
          <w:lang w:val="en-US"/>
        </w:rPr>
        <w:t xml:space="preserve"> which</w:t>
      </w:r>
      <w:r>
        <w:rPr>
          <w:lang w:val="en-US"/>
        </w:rPr>
        <w:t xml:space="preserve"> can be</w:t>
      </w:r>
      <w:r w:rsidR="00F56165" w:rsidRPr="00F56165">
        <w:rPr>
          <w:lang w:val="en-US"/>
        </w:rPr>
        <w:t xml:space="preserve"> relevant for URLLC when the reliability of CSI itself may be an issue.  </w:t>
      </w:r>
    </w:p>
    <w:p w14:paraId="1FEBAA34" w14:textId="071B23E8" w:rsidR="00B41BC4" w:rsidRDefault="00F56165" w:rsidP="00F56165">
      <w:pPr>
        <w:rPr>
          <w:lang w:val="en-US"/>
        </w:rPr>
      </w:pPr>
      <w:r w:rsidRPr="00F56165">
        <w:rPr>
          <w:lang w:val="en-US"/>
        </w:rPr>
        <w:t>As mention in [</w:t>
      </w:r>
      <w:r w:rsidR="00410256">
        <w:rPr>
          <w:lang w:val="en-US"/>
        </w:rPr>
        <w:t>3</w:t>
      </w:r>
      <w:r w:rsidRPr="00F56165">
        <w:rPr>
          <w:lang w:val="en-US"/>
        </w:rPr>
        <w:t xml:space="preserve">], there </w:t>
      </w:r>
      <w:r w:rsidR="00AA37EF">
        <w:rPr>
          <w:lang w:val="en-US"/>
        </w:rPr>
        <w:t>are</w:t>
      </w:r>
      <w:r w:rsidRPr="00F56165">
        <w:rPr>
          <w:lang w:val="en-US"/>
        </w:rPr>
        <w:t xml:space="preserve"> several transmit diversity schemes discussed in LTE and NR. In this contribution, we provide some evaluation results of transmit diversity for high reliability use cases/URLLC, e.g., </w:t>
      </w:r>
      <w:r w:rsidR="00857CBD" w:rsidRPr="0063438F">
        <w:rPr>
          <w:lang w:val="en-US"/>
        </w:rPr>
        <w:t>CDD</w:t>
      </w:r>
      <w:r w:rsidR="00857CBD" w:rsidDel="00857CBD">
        <w:rPr>
          <w:lang w:val="en-US"/>
        </w:rPr>
        <w:t xml:space="preserve"> </w:t>
      </w:r>
      <w:r w:rsidR="00B41BC4">
        <w:rPr>
          <w:lang w:val="en-US"/>
        </w:rPr>
        <w:t>for PDSCH</w:t>
      </w:r>
      <w:r w:rsidR="00B41BC4" w:rsidDel="00857CBD">
        <w:rPr>
          <w:lang w:val="en-US"/>
        </w:rPr>
        <w:t xml:space="preserve"> </w:t>
      </w:r>
      <w:r w:rsidR="00B41BC4">
        <w:rPr>
          <w:lang w:val="en-US"/>
        </w:rPr>
        <w:t xml:space="preserve">and </w:t>
      </w:r>
      <w:r w:rsidR="00F90AAF">
        <w:rPr>
          <w:lang w:val="en-US"/>
        </w:rPr>
        <w:t>SFBC</w:t>
      </w:r>
      <w:r w:rsidR="00B41BC4">
        <w:rPr>
          <w:lang w:val="en-US"/>
        </w:rPr>
        <w:t>/CDD</w:t>
      </w:r>
      <w:r w:rsidR="00F90AAF">
        <w:rPr>
          <w:lang w:val="en-US"/>
        </w:rPr>
        <w:t xml:space="preserve"> for short PUCCH</w:t>
      </w:r>
      <w:r w:rsidR="00B41BC4">
        <w:rPr>
          <w:lang w:val="en-US"/>
        </w:rPr>
        <w:t>.</w:t>
      </w:r>
    </w:p>
    <w:p w14:paraId="479E1E86" w14:textId="77777777" w:rsidR="00B41BC4" w:rsidRDefault="00B41BC4" w:rsidP="00B41BC4">
      <w:pPr>
        <w:pStyle w:val="Heading2"/>
      </w:pPr>
      <w:r>
        <w:t xml:space="preserve">Cyclic delay diversity (for PDSCH) </w:t>
      </w:r>
    </w:p>
    <w:p w14:paraId="1805E2AF" w14:textId="77777777" w:rsidR="00B41BC4" w:rsidRPr="00F56165" w:rsidRDefault="00B41BC4" w:rsidP="00B41BC4">
      <w:pPr>
        <w:rPr>
          <w:lang w:val="en-US"/>
        </w:rPr>
      </w:pPr>
      <w:r w:rsidRPr="00F56165">
        <w:rPr>
          <w:lang w:val="en-US"/>
        </w:rPr>
        <w:t>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multiple 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34D60B8C" w14:textId="77777777" w:rsidR="00B41BC4" w:rsidRDefault="00B41BC4" w:rsidP="00B41BC4">
      <w:pPr>
        <w:rPr>
          <w:lang w:val="en-US"/>
        </w:rPr>
      </w:pPr>
      <w:r>
        <w:rPr>
          <w:lang w:val="en-US"/>
        </w:rPr>
        <w:t>Below we provide simulation results of CDD scheme for 2 TX antennas. Simulation assumptions relevant for URLLC are given below.</w:t>
      </w:r>
    </w:p>
    <w:p w14:paraId="1285C7A3" w14:textId="77777777" w:rsidR="00B41BC4" w:rsidRDefault="00B41BC4" w:rsidP="00B41BC4">
      <w:pPr>
        <w:pStyle w:val="ListParagraph"/>
        <w:numPr>
          <w:ilvl w:val="0"/>
          <w:numId w:val="23"/>
        </w:numPr>
        <w:rPr>
          <w:lang w:val="en-US"/>
        </w:rPr>
      </w:pPr>
      <w:r>
        <w:rPr>
          <w:lang w:val="en-US"/>
        </w:rPr>
        <w:lastRenderedPageBreak/>
        <w:t>LDPC code BG#2, layered sum-product decoder with 15 iterations</w:t>
      </w:r>
    </w:p>
    <w:p w14:paraId="31488086" w14:textId="77777777" w:rsidR="00B41BC4" w:rsidRDefault="00B41BC4" w:rsidP="00B41BC4">
      <w:pPr>
        <w:pStyle w:val="ListParagraph"/>
        <w:numPr>
          <w:ilvl w:val="0"/>
          <w:numId w:val="23"/>
        </w:numPr>
        <w:rPr>
          <w:lang w:val="en-US"/>
        </w:rPr>
      </w:pPr>
      <w:r>
        <w:rPr>
          <w:lang w:val="en-US"/>
        </w:rPr>
        <w:t>QPSK</w:t>
      </w:r>
    </w:p>
    <w:p w14:paraId="45775305" w14:textId="77777777" w:rsidR="00B41BC4" w:rsidRDefault="00B41BC4" w:rsidP="00B41BC4">
      <w:pPr>
        <w:pStyle w:val="ListParagraph"/>
        <w:numPr>
          <w:ilvl w:val="0"/>
          <w:numId w:val="23"/>
        </w:numPr>
        <w:rPr>
          <w:lang w:val="en-US"/>
        </w:rPr>
      </w:pPr>
      <w:r w:rsidRPr="0087448D">
        <w:rPr>
          <w:lang w:val="en-US"/>
        </w:rPr>
        <w:t>R=1/5 and</w:t>
      </w:r>
      <w:r>
        <w:rPr>
          <w:lang w:val="en-US"/>
        </w:rPr>
        <w:t xml:space="preserve"> 1/10</w:t>
      </w:r>
    </w:p>
    <w:p w14:paraId="0DB8C574" w14:textId="77777777" w:rsidR="00B41BC4" w:rsidRPr="00367175" w:rsidRDefault="00B41BC4" w:rsidP="00B41BC4">
      <w:pPr>
        <w:pStyle w:val="ListParagraph"/>
        <w:numPr>
          <w:ilvl w:val="0"/>
          <w:numId w:val="23"/>
        </w:numPr>
        <w:rPr>
          <w:lang w:val="en-US"/>
        </w:rPr>
      </w:pPr>
      <w:r w:rsidRPr="00367175">
        <w:rPr>
          <w:lang w:val="en-US"/>
        </w:rPr>
        <w:t xml:space="preserve">4 and 7os mini-slot duration with 1 DMRS </w:t>
      </w:r>
      <w:r>
        <w:rPr>
          <w:lang w:val="en-US"/>
        </w:rPr>
        <w:t>symbol (no FDM with data)</w:t>
      </w:r>
    </w:p>
    <w:p w14:paraId="047BB66E" w14:textId="77777777" w:rsidR="00B41BC4" w:rsidRDefault="00B41BC4" w:rsidP="00B41BC4">
      <w:pPr>
        <w:pStyle w:val="ListParagraph"/>
        <w:numPr>
          <w:ilvl w:val="0"/>
          <w:numId w:val="23"/>
        </w:numPr>
        <w:rPr>
          <w:lang w:val="en-US"/>
        </w:rPr>
      </w:pPr>
      <w:r w:rsidRPr="0087448D">
        <w:rPr>
          <w:lang w:val="en-US"/>
        </w:rPr>
        <w:t>SCS 3</w:t>
      </w:r>
      <w:r>
        <w:rPr>
          <w:lang w:val="en-US"/>
        </w:rPr>
        <w:t>0kHz</w:t>
      </w:r>
    </w:p>
    <w:p w14:paraId="191251C9" w14:textId="77777777" w:rsidR="00B41BC4" w:rsidRDefault="00B41BC4" w:rsidP="00B41BC4">
      <w:pPr>
        <w:pStyle w:val="ListParagraph"/>
        <w:numPr>
          <w:ilvl w:val="0"/>
          <w:numId w:val="23"/>
        </w:numPr>
        <w:rPr>
          <w:lang w:val="en-US"/>
        </w:rPr>
      </w:pPr>
      <w:r>
        <w:rPr>
          <w:lang w:val="en-US"/>
        </w:rPr>
        <w:t>Carrier frequency 700 MHz</w:t>
      </w:r>
    </w:p>
    <w:p w14:paraId="6ED84BDB" w14:textId="77777777" w:rsidR="00B41BC4" w:rsidRDefault="00B41BC4" w:rsidP="00B41BC4">
      <w:pPr>
        <w:pStyle w:val="ListParagraph"/>
        <w:numPr>
          <w:ilvl w:val="0"/>
          <w:numId w:val="23"/>
        </w:numPr>
        <w:rPr>
          <w:lang w:val="en-US"/>
        </w:rPr>
      </w:pPr>
      <w:r>
        <w:rPr>
          <w:lang w:val="en-US"/>
        </w:rPr>
        <w:t>#PRBs corresponding to the payload (TBS) 280b</w:t>
      </w:r>
      <w:r w:rsidRPr="00367175">
        <w:rPr>
          <w:lang w:val="en-US"/>
        </w:rPr>
        <w:t xml:space="preserve"> </w:t>
      </w:r>
      <w:r>
        <w:rPr>
          <w:lang w:val="en-US"/>
        </w:rPr>
        <w:t>is given in Table 1.</w:t>
      </w:r>
    </w:p>
    <w:p w14:paraId="7AE30777" w14:textId="77777777" w:rsidR="00B41BC4" w:rsidRDefault="00B41BC4" w:rsidP="00B41BC4">
      <w:pPr>
        <w:pStyle w:val="ListParagraph"/>
        <w:numPr>
          <w:ilvl w:val="0"/>
          <w:numId w:val="23"/>
        </w:numPr>
        <w:rPr>
          <w:lang w:val="en-US"/>
        </w:rPr>
      </w:pPr>
      <w:r>
        <w:rPr>
          <w:lang w:val="en-US"/>
        </w:rPr>
        <w:t>Practical channel estimation</w:t>
      </w:r>
    </w:p>
    <w:p w14:paraId="72A26A9F" w14:textId="77777777" w:rsidR="00B41BC4" w:rsidRPr="004209D7" w:rsidRDefault="00B41BC4" w:rsidP="00B41BC4">
      <w:pPr>
        <w:pStyle w:val="ListParagraph"/>
        <w:numPr>
          <w:ilvl w:val="0"/>
          <w:numId w:val="23"/>
        </w:numPr>
        <w:rPr>
          <w:lang w:val="en-US"/>
        </w:rPr>
      </w:pPr>
      <w:r>
        <w:rPr>
          <w:lang w:val="en-US"/>
        </w:rPr>
        <w:t>2 Rx antennas with MRC combining</w:t>
      </w:r>
    </w:p>
    <w:p w14:paraId="5BE1427B" w14:textId="77777777" w:rsidR="00B41BC4" w:rsidRPr="0063438F" w:rsidRDefault="00B41BC4" w:rsidP="00B41BC4">
      <w:pPr>
        <w:ind w:left="360"/>
        <w:jc w:val="center"/>
        <w:rPr>
          <w:b/>
          <w:lang w:val="en-US"/>
        </w:rPr>
      </w:pPr>
      <w:r w:rsidRPr="0063438F">
        <w:rPr>
          <w:b/>
          <w:lang w:val="en-US"/>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B41BC4" w14:paraId="7739325A" w14:textId="77777777" w:rsidTr="00602383">
        <w:trPr>
          <w:jc w:val="center"/>
        </w:trPr>
        <w:tc>
          <w:tcPr>
            <w:tcW w:w="2977" w:type="dxa"/>
          </w:tcPr>
          <w:p w14:paraId="6BC0581A" w14:textId="77777777" w:rsidR="00B41BC4" w:rsidRPr="0063438F" w:rsidRDefault="00B41BC4" w:rsidP="00602383">
            <w:pPr>
              <w:jc w:val="center"/>
              <w:rPr>
                <w:lang w:val="en-US"/>
              </w:rPr>
            </w:pPr>
            <w:r w:rsidRPr="0063438F">
              <w:rPr>
                <w:lang w:val="en-US"/>
              </w:rPr>
              <w:t xml:space="preserve">Code rate/ mini-slot duration </w:t>
            </w:r>
          </w:p>
        </w:tc>
        <w:tc>
          <w:tcPr>
            <w:tcW w:w="1227" w:type="dxa"/>
          </w:tcPr>
          <w:p w14:paraId="4D00BB1B" w14:textId="77777777" w:rsidR="00B41BC4" w:rsidRDefault="00B41BC4" w:rsidP="00602383">
            <w:pPr>
              <w:jc w:val="center"/>
            </w:pPr>
            <w:r>
              <w:t>4os</w:t>
            </w:r>
          </w:p>
        </w:tc>
        <w:tc>
          <w:tcPr>
            <w:tcW w:w="1228" w:type="dxa"/>
          </w:tcPr>
          <w:p w14:paraId="3016D6BF" w14:textId="77777777" w:rsidR="00B41BC4" w:rsidRDefault="00B41BC4" w:rsidP="00602383">
            <w:pPr>
              <w:jc w:val="center"/>
            </w:pPr>
            <w:r>
              <w:t>7os</w:t>
            </w:r>
          </w:p>
        </w:tc>
      </w:tr>
      <w:tr w:rsidR="00B41BC4" w14:paraId="2EF275F5" w14:textId="77777777" w:rsidTr="00602383">
        <w:trPr>
          <w:jc w:val="center"/>
        </w:trPr>
        <w:tc>
          <w:tcPr>
            <w:tcW w:w="2977" w:type="dxa"/>
          </w:tcPr>
          <w:p w14:paraId="684DA625" w14:textId="77777777" w:rsidR="00B41BC4" w:rsidRPr="000579C5" w:rsidRDefault="00B41BC4" w:rsidP="00602383">
            <w:pPr>
              <w:jc w:val="center"/>
            </w:pPr>
            <w:r w:rsidRPr="000579C5">
              <w:t>1</w:t>
            </w:r>
            <w:r>
              <w:t>/</w:t>
            </w:r>
            <w:r w:rsidRPr="000579C5">
              <w:t>5</w:t>
            </w:r>
          </w:p>
        </w:tc>
        <w:tc>
          <w:tcPr>
            <w:tcW w:w="1227" w:type="dxa"/>
          </w:tcPr>
          <w:p w14:paraId="05EBD899" w14:textId="6E329EC5" w:rsidR="00B41BC4" w:rsidRPr="000579C5" w:rsidRDefault="009D6390" w:rsidP="00602383">
            <w:pPr>
              <w:jc w:val="center"/>
            </w:pPr>
            <w:r>
              <w:t>18</w:t>
            </w:r>
          </w:p>
        </w:tc>
        <w:tc>
          <w:tcPr>
            <w:tcW w:w="1228" w:type="dxa"/>
          </w:tcPr>
          <w:p w14:paraId="43E1226D" w14:textId="76A87247" w:rsidR="00B41BC4" w:rsidRPr="000579C5" w:rsidRDefault="009D6390" w:rsidP="00602383">
            <w:pPr>
              <w:jc w:val="center"/>
            </w:pPr>
            <w:r>
              <w:t>9</w:t>
            </w:r>
          </w:p>
        </w:tc>
      </w:tr>
      <w:tr w:rsidR="00B41BC4" w14:paraId="3447D733" w14:textId="77777777" w:rsidTr="00602383">
        <w:trPr>
          <w:jc w:val="center"/>
        </w:trPr>
        <w:tc>
          <w:tcPr>
            <w:tcW w:w="2977" w:type="dxa"/>
          </w:tcPr>
          <w:p w14:paraId="26A400FC" w14:textId="77777777" w:rsidR="00B41BC4" w:rsidRPr="000579C5" w:rsidRDefault="00B41BC4" w:rsidP="00602383">
            <w:pPr>
              <w:jc w:val="center"/>
            </w:pPr>
            <w:r>
              <w:t>1/10</w:t>
            </w:r>
          </w:p>
        </w:tc>
        <w:tc>
          <w:tcPr>
            <w:tcW w:w="1227" w:type="dxa"/>
          </w:tcPr>
          <w:p w14:paraId="7CC69A3C" w14:textId="5C39519F" w:rsidR="00B41BC4" w:rsidRPr="000579C5" w:rsidRDefault="009D6390" w:rsidP="00602383">
            <w:pPr>
              <w:jc w:val="center"/>
            </w:pPr>
            <w:r>
              <w:t>36</w:t>
            </w:r>
          </w:p>
        </w:tc>
        <w:tc>
          <w:tcPr>
            <w:tcW w:w="1228" w:type="dxa"/>
          </w:tcPr>
          <w:p w14:paraId="6A17F611" w14:textId="049DDBDF" w:rsidR="00B41BC4" w:rsidRPr="000579C5" w:rsidRDefault="009D6390" w:rsidP="00602383">
            <w:pPr>
              <w:jc w:val="center"/>
            </w:pPr>
            <w:r>
              <w:t>18</w:t>
            </w:r>
          </w:p>
        </w:tc>
      </w:tr>
    </w:tbl>
    <w:p w14:paraId="43177E05" w14:textId="77777777" w:rsidR="00B41BC4" w:rsidRPr="00F56165" w:rsidRDefault="00B41BC4" w:rsidP="00B41BC4">
      <w:pPr>
        <w:rPr>
          <w:lang w:val="en-US"/>
        </w:rPr>
      </w:pPr>
    </w:p>
    <w:p w14:paraId="774A4C05" w14:textId="77777777" w:rsidR="00B41BC4" w:rsidRDefault="00B41BC4" w:rsidP="00B41BC4">
      <w:pPr>
        <w:rPr>
          <w:lang w:val="en-US"/>
        </w:rPr>
      </w:pPr>
      <w:r>
        <w:rPr>
          <w:lang w:val="en-US"/>
        </w:rPr>
        <w:t xml:space="preserve">We compare CDD scheme with the scheme that uses a simple 1/sqrt(2)*[1;1] precoder which duplicates symbols over the second transmit antenna with power scaling (denoted by “no CDD”) for different channel models, e.g., TDL-C 10ns, 30ns, 300ns with UE speed 3 kmph. Due to uncorrelated antenna assumption, the “no CDD” scheme is also equivalent to the scheme with 1 TX antenna. </w:t>
      </w:r>
    </w:p>
    <w:p w14:paraId="78536395" w14:textId="77777777" w:rsidR="00B41BC4" w:rsidRDefault="00B41BC4" w:rsidP="00B41BC4">
      <w:pPr>
        <w:rPr>
          <w:lang w:val="en-US"/>
        </w:rPr>
      </w:pPr>
      <w:r>
        <w:rPr>
          <w:noProof/>
          <w:lang w:val="en-US"/>
        </w:rPr>
        <w:drawing>
          <wp:inline distT="0" distB="0" distL="0" distR="0" wp14:anchorId="30328817" wp14:editId="1D9B9746">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lang w:val="en-US"/>
        </w:rPr>
        <w:drawing>
          <wp:inline distT="0" distB="0" distL="0" distR="0" wp14:anchorId="750725C1" wp14:editId="2E40485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3220506D" w14:textId="77777777" w:rsidR="00B41BC4" w:rsidRDefault="00B41BC4" w:rsidP="00B41BC4">
      <w:pPr>
        <w:jc w:val="center"/>
        <w:rPr>
          <w:b/>
          <w:lang w:val="en-US"/>
        </w:rPr>
      </w:pPr>
      <w:r w:rsidRPr="00410256">
        <w:rPr>
          <w:b/>
          <w:lang w:val="en-US"/>
        </w:rPr>
        <w:t>Figure 1: Performance comparison between CDD</w:t>
      </w:r>
      <w:r>
        <w:rPr>
          <w:b/>
          <w:lang w:val="en-US"/>
        </w:rPr>
        <w:t xml:space="preserve"> and </w:t>
      </w:r>
      <w:r w:rsidRPr="00410256">
        <w:rPr>
          <w:b/>
          <w:lang w:val="en-US"/>
        </w:rPr>
        <w:t>simple precoder schemes for TDLC-10ns.</w:t>
      </w:r>
    </w:p>
    <w:p w14:paraId="1CBA44D6" w14:textId="77777777" w:rsidR="00B41BC4" w:rsidRDefault="00B41BC4" w:rsidP="00B41BC4">
      <w:pPr>
        <w:jc w:val="center"/>
        <w:rPr>
          <w:b/>
          <w:lang w:val="en-US"/>
        </w:rPr>
      </w:pPr>
    </w:p>
    <w:p w14:paraId="30EF740D" w14:textId="41A686BA" w:rsidR="00B41BC4" w:rsidRPr="00410256" w:rsidRDefault="00B41BC4" w:rsidP="00B41BC4">
      <w:pPr>
        <w:rPr>
          <w:b/>
          <w:lang w:val="en-US"/>
        </w:rPr>
      </w:pPr>
      <w:r>
        <w:rPr>
          <w:b/>
          <w:noProof/>
          <w:lang w:val="en-US"/>
        </w:rPr>
        <w:drawing>
          <wp:inline distT="0" distB="0" distL="0" distR="0" wp14:anchorId="7323E262" wp14:editId="31AAAF6F">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sidR="00980B8C">
        <w:rPr>
          <w:b/>
          <w:noProof/>
          <w:lang w:val="en-US"/>
        </w:rPr>
        <w:drawing>
          <wp:inline distT="0" distB="0" distL="0" distR="0" wp14:anchorId="2C8B720D" wp14:editId="0847CF03">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6D43D3F0" w14:textId="77777777" w:rsidR="00B41BC4" w:rsidRDefault="00B41BC4" w:rsidP="00B41BC4">
      <w:pPr>
        <w:jc w:val="center"/>
        <w:rPr>
          <w:b/>
          <w:lang w:val="en-US"/>
        </w:rPr>
      </w:pPr>
      <w:r w:rsidRPr="00410256">
        <w:rPr>
          <w:b/>
          <w:lang w:val="en-US"/>
        </w:rPr>
        <w:t>Figure 2: Performance comparison between CDD</w:t>
      </w:r>
      <w:r>
        <w:rPr>
          <w:b/>
          <w:lang w:val="en-US"/>
        </w:rPr>
        <w:t xml:space="preserve"> and simple precoder </w:t>
      </w:r>
      <w:r w:rsidRPr="00410256">
        <w:rPr>
          <w:b/>
          <w:lang w:val="en-US"/>
        </w:rPr>
        <w:t>schemes for TDLC-30ns.</w:t>
      </w:r>
    </w:p>
    <w:p w14:paraId="5E268763" w14:textId="0F4F3733" w:rsidR="00B41BC4" w:rsidRDefault="00B41BC4" w:rsidP="00B41BC4">
      <w:pPr>
        <w:jc w:val="center"/>
        <w:rPr>
          <w:b/>
          <w:lang w:val="en-US"/>
        </w:rPr>
      </w:pPr>
    </w:p>
    <w:p w14:paraId="6D0566A2" w14:textId="67714E60" w:rsidR="00084978" w:rsidRPr="00410256" w:rsidRDefault="00CC1744" w:rsidP="00CC1744">
      <w:pPr>
        <w:rPr>
          <w:b/>
          <w:lang w:val="en-US"/>
        </w:rPr>
      </w:pPr>
      <w:r>
        <w:rPr>
          <w:b/>
          <w:noProof/>
          <w:lang w:val="en-US"/>
        </w:rPr>
        <w:lastRenderedPageBreak/>
        <w:drawing>
          <wp:inline distT="0" distB="0" distL="0" distR="0" wp14:anchorId="00D8A6E0" wp14:editId="27F8C8F2">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sidR="00084978">
        <w:rPr>
          <w:b/>
          <w:noProof/>
          <w:lang w:val="en-US"/>
        </w:rPr>
        <w:drawing>
          <wp:inline distT="0" distB="0" distL="0" distR="0" wp14:anchorId="38339FB3" wp14:editId="79C9F190">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0724BBB5" w14:textId="77777777" w:rsidR="00B41BC4" w:rsidRPr="00410256" w:rsidRDefault="00B41BC4" w:rsidP="00B41BC4">
      <w:pPr>
        <w:jc w:val="center"/>
        <w:rPr>
          <w:b/>
          <w:lang w:val="en-US"/>
        </w:rPr>
      </w:pPr>
      <w:r w:rsidRPr="00410256">
        <w:rPr>
          <w:b/>
          <w:lang w:val="en-US"/>
        </w:rPr>
        <w:t xml:space="preserve">Figure 3: Performance comparison between </w:t>
      </w:r>
      <w:r>
        <w:rPr>
          <w:b/>
          <w:lang w:val="en-US"/>
        </w:rPr>
        <w:t>CDD and</w:t>
      </w:r>
      <w:r w:rsidRPr="00410256">
        <w:rPr>
          <w:b/>
          <w:lang w:val="en-US"/>
        </w:rPr>
        <w:t xml:space="preserve"> simple precoder schemes for TDLC-300ns.</w:t>
      </w:r>
    </w:p>
    <w:p w14:paraId="2741C0F5" w14:textId="77777777" w:rsidR="00B41BC4" w:rsidRPr="00367175" w:rsidRDefault="00B41BC4" w:rsidP="00B41BC4">
      <w:pPr>
        <w:rPr>
          <w:lang w:val="en-US"/>
        </w:rPr>
      </w:pPr>
    </w:p>
    <w:p w14:paraId="2094454E" w14:textId="77777777" w:rsidR="00B41BC4" w:rsidRPr="00367175" w:rsidRDefault="00B41BC4" w:rsidP="00B41BC4">
      <w:pPr>
        <w:rPr>
          <w:lang w:val="en-US"/>
        </w:rPr>
      </w:pPr>
      <w:r>
        <w:rPr>
          <w:lang w:val="en-US"/>
        </w:rPr>
        <w:t xml:space="preserve">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 </w:t>
      </w:r>
    </w:p>
    <w:p w14:paraId="7333940E" w14:textId="77777777" w:rsidR="00B41BC4" w:rsidRPr="00367175" w:rsidRDefault="00B41BC4" w:rsidP="00B41BC4">
      <w:pPr>
        <w:rPr>
          <w:lang w:val="en-US"/>
        </w:rPr>
      </w:pPr>
    </w:p>
    <w:p w14:paraId="1CC3CB4F" w14:textId="07FA9F63" w:rsidR="00B41BC4" w:rsidRPr="0063438F" w:rsidRDefault="00B41BC4" w:rsidP="00B41BC4">
      <w:pPr>
        <w:pStyle w:val="Observation"/>
        <w:rPr>
          <w:lang w:val="en-US"/>
        </w:rPr>
      </w:pPr>
      <w:bookmarkStart w:id="2" w:name="_Toc498432975"/>
      <w:bookmarkStart w:id="3" w:name="_Toc498506378"/>
      <w:r w:rsidRPr="0063438F">
        <w:rPr>
          <w:lang w:val="en-US"/>
        </w:rPr>
        <w:t>Transmit diversity such as CDD can provide performance gain at low BLER especially when used for relatively flat channel</w:t>
      </w:r>
      <w:bookmarkEnd w:id="2"/>
      <w:bookmarkEnd w:id="3"/>
      <w:r w:rsidR="00980B8C" w:rsidRPr="0063438F">
        <w:rPr>
          <w:lang w:val="en-US"/>
        </w:rPr>
        <w:t>.</w:t>
      </w:r>
    </w:p>
    <w:p w14:paraId="00E0114C" w14:textId="77777777" w:rsidR="00B41BC4" w:rsidRPr="0063438F" w:rsidRDefault="00B41BC4" w:rsidP="00F56165">
      <w:pPr>
        <w:rPr>
          <w:lang w:val="en-US"/>
        </w:rPr>
      </w:pPr>
    </w:p>
    <w:p w14:paraId="7117DB0A" w14:textId="7EA5082E" w:rsidR="00F90AAF" w:rsidRDefault="00F90AAF" w:rsidP="00F90AAF">
      <w:pPr>
        <w:pStyle w:val="Heading2"/>
      </w:pPr>
      <w:r>
        <w:t xml:space="preserve">SFBC or </w:t>
      </w:r>
      <w:r w:rsidR="00857CBD">
        <w:t xml:space="preserve">CDD </w:t>
      </w:r>
      <w:r>
        <w:t>(for PUCCH)</w:t>
      </w:r>
    </w:p>
    <w:p w14:paraId="43C34871" w14:textId="6239F913" w:rsidR="00857CBD" w:rsidRDefault="00857CBD" w:rsidP="00857CBD">
      <w:pPr>
        <w:rPr>
          <w:lang w:val="en-US"/>
        </w:rPr>
      </w:pPr>
      <w:r>
        <w:rPr>
          <w:lang w:val="en-US"/>
        </w:rPr>
        <w:t>For short payload, up to 2bits, SORTD has been agreed for tx diversity. For UCI of more than 2 bits, natural candidates are SFBC, i.e., Alamouti in frequency, and C</w:t>
      </w:r>
      <w:r w:rsidR="00136C0B">
        <w:rPr>
          <w:lang w:val="en-US"/>
        </w:rPr>
        <w:t>D</w:t>
      </w:r>
      <w:r>
        <w:rPr>
          <w:lang w:val="en-US"/>
        </w:rPr>
        <w:t>D. SFBC is limited in two transmit antennas, given that for more antennas, the optimal designs have an effective rate that is less than 1 QAM symbol/RE. On the other hand, the intention with CSD, as mentioned previously, is to induce independent fading and a nice property is that the design is not restricted by the number of transmit antennas. Below we state the simulation assumptions for PUCCH</w:t>
      </w:r>
      <w:r w:rsidR="00136C0B">
        <w:rPr>
          <w:lang w:val="en-US"/>
        </w:rPr>
        <w:t>.</w:t>
      </w:r>
    </w:p>
    <w:p w14:paraId="58FBDCA6" w14:textId="77777777" w:rsidR="00136C0B" w:rsidRPr="00AD484F" w:rsidRDefault="00136C0B" w:rsidP="00857CBD">
      <w:pPr>
        <w:rPr>
          <w:lang w:val="en-US"/>
        </w:rPr>
      </w:pPr>
    </w:p>
    <w:tbl>
      <w:tblPr>
        <w:tblStyle w:val="TableGrid"/>
        <w:tblW w:w="6804" w:type="dxa"/>
        <w:jc w:val="center"/>
        <w:tblLook w:val="04A0" w:firstRow="1" w:lastRow="0" w:firstColumn="1" w:lastColumn="0" w:noHBand="0" w:noVBand="1"/>
      </w:tblPr>
      <w:tblGrid>
        <w:gridCol w:w="1984"/>
        <w:gridCol w:w="4820"/>
      </w:tblGrid>
      <w:tr w:rsidR="00857CBD" w:rsidRPr="000E4DF5" w14:paraId="4DFC10A9" w14:textId="77777777" w:rsidTr="00615BA7">
        <w:trPr>
          <w:jc w:val="center"/>
        </w:trPr>
        <w:tc>
          <w:tcPr>
            <w:tcW w:w="1984" w:type="dxa"/>
          </w:tcPr>
          <w:p w14:paraId="35BEF9F5" w14:textId="77777777" w:rsidR="00857CBD" w:rsidRPr="000E4DF5" w:rsidRDefault="00857CBD" w:rsidP="00615BA7">
            <w:pPr>
              <w:rPr>
                <w:lang w:val="en-US"/>
              </w:rPr>
            </w:pPr>
            <w:r w:rsidRPr="00EC28DF">
              <w:rPr>
                <w:lang w:val="en-US"/>
              </w:rPr>
              <w:t xml:space="preserve">Carrier </w:t>
            </w:r>
            <w:r w:rsidRPr="000E4DF5">
              <w:rPr>
                <w:lang w:val="en-US"/>
              </w:rPr>
              <w:t>frequency</w:t>
            </w:r>
          </w:p>
        </w:tc>
        <w:tc>
          <w:tcPr>
            <w:tcW w:w="4820" w:type="dxa"/>
          </w:tcPr>
          <w:p w14:paraId="7A87FCD9" w14:textId="77777777" w:rsidR="00857CBD" w:rsidRPr="000E4DF5" w:rsidRDefault="00857CBD" w:rsidP="00615BA7">
            <w:pPr>
              <w:rPr>
                <w:lang w:val="en-US"/>
              </w:rPr>
            </w:pPr>
            <w:r w:rsidRPr="000E4DF5">
              <w:rPr>
                <w:lang w:val="en-US"/>
              </w:rPr>
              <w:t>4 GHz</w:t>
            </w:r>
          </w:p>
        </w:tc>
      </w:tr>
      <w:tr w:rsidR="00857CBD" w:rsidRPr="000E4DF5" w14:paraId="0BE2DB8C" w14:textId="77777777" w:rsidTr="00615BA7">
        <w:trPr>
          <w:jc w:val="center"/>
        </w:trPr>
        <w:tc>
          <w:tcPr>
            <w:tcW w:w="1984" w:type="dxa"/>
          </w:tcPr>
          <w:p w14:paraId="5A17F8BD" w14:textId="77777777" w:rsidR="00857CBD" w:rsidRPr="000E4DF5" w:rsidRDefault="00857CBD" w:rsidP="00615BA7">
            <w:pPr>
              <w:rPr>
                <w:lang w:val="en-US"/>
              </w:rPr>
            </w:pPr>
            <w:r w:rsidRPr="000E4DF5">
              <w:rPr>
                <w:lang w:val="en-US"/>
              </w:rPr>
              <w:t>Bandwidth</w:t>
            </w:r>
          </w:p>
        </w:tc>
        <w:tc>
          <w:tcPr>
            <w:tcW w:w="4820" w:type="dxa"/>
          </w:tcPr>
          <w:p w14:paraId="64AE403A" w14:textId="77777777" w:rsidR="00857CBD" w:rsidRPr="000E4DF5" w:rsidRDefault="00857CBD" w:rsidP="00615BA7">
            <w:pPr>
              <w:rPr>
                <w:lang w:val="en-US"/>
              </w:rPr>
            </w:pPr>
            <w:r w:rsidRPr="000E4DF5">
              <w:rPr>
                <w:lang w:val="en-US"/>
              </w:rPr>
              <w:t>20 MHz</w:t>
            </w:r>
          </w:p>
        </w:tc>
      </w:tr>
      <w:tr w:rsidR="00857CBD" w:rsidRPr="000E4DF5" w14:paraId="4659C72A" w14:textId="77777777" w:rsidTr="00615BA7">
        <w:trPr>
          <w:jc w:val="center"/>
        </w:trPr>
        <w:tc>
          <w:tcPr>
            <w:tcW w:w="1984" w:type="dxa"/>
          </w:tcPr>
          <w:p w14:paraId="190D419C" w14:textId="77777777" w:rsidR="00857CBD" w:rsidRPr="000E4DF5" w:rsidRDefault="00857CBD" w:rsidP="00615BA7">
            <w:pPr>
              <w:rPr>
                <w:lang w:val="en-US"/>
              </w:rPr>
            </w:pPr>
            <w:r w:rsidRPr="000E4DF5">
              <w:rPr>
                <w:lang w:val="en-US"/>
              </w:rPr>
              <w:t>PHY resources</w:t>
            </w:r>
          </w:p>
        </w:tc>
        <w:tc>
          <w:tcPr>
            <w:tcW w:w="4820" w:type="dxa"/>
          </w:tcPr>
          <w:p w14:paraId="2C9AB68B" w14:textId="77777777" w:rsidR="00857CBD" w:rsidRPr="000E4DF5" w:rsidRDefault="00857CBD" w:rsidP="00615BA7">
            <w:pPr>
              <w:rPr>
                <w:lang w:val="en-US"/>
              </w:rPr>
            </w:pPr>
            <w:r>
              <w:rPr>
                <w:lang w:val="en-US"/>
              </w:rPr>
              <w:t>4 P</w:t>
            </w:r>
            <w:r w:rsidRPr="000E4DF5">
              <w:rPr>
                <w:lang w:val="en-US"/>
              </w:rPr>
              <w:t>RB</w:t>
            </w:r>
          </w:p>
        </w:tc>
      </w:tr>
      <w:tr w:rsidR="00857CBD" w:rsidRPr="00BE21BD" w14:paraId="6CE1CB49" w14:textId="77777777" w:rsidTr="00615BA7">
        <w:trPr>
          <w:jc w:val="center"/>
        </w:trPr>
        <w:tc>
          <w:tcPr>
            <w:tcW w:w="1984" w:type="dxa"/>
          </w:tcPr>
          <w:p w14:paraId="7D3A79D6" w14:textId="77777777" w:rsidR="00857CBD" w:rsidRPr="000E4DF5" w:rsidRDefault="00857CBD" w:rsidP="00615BA7">
            <w:pPr>
              <w:rPr>
                <w:lang w:val="en-US"/>
              </w:rPr>
            </w:pPr>
            <w:r w:rsidRPr="000E4DF5">
              <w:rPr>
                <w:lang w:val="en-US"/>
              </w:rPr>
              <w:t>Channel model</w:t>
            </w:r>
          </w:p>
        </w:tc>
        <w:tc>
          <w:tcPr>
            <w:tcW w:w="4820" w:type="dxa"/>
          </w:tcPr>
          <w:p w14:paraId="4760EFF1" w14:textId="211962C9" w:rsidR="00857CBD" w:rsidRPr="00AD484F" w:rsidRDefault="00857CBD" w:rsidP="00615BA7">
            <w:pPr>
              <w:rPr>
                <w:lang w:val="en-US"/>
              </w:rPr>
            </w:pPr>
            <w:r w:rsidRPr="00AD484F">
              <w:rPr>
                <w:lang w:val="en-US"/>
              </w:rPr>
              <w:t>TDL-</w:t>
            </w:r>
            <w:r w:rsidR="0003463A">
              <w:rPr>
                <w:lang w:val="en-US"/>
              </w:rPr>
              <w:t>C</w:t>
            </w:r>
            <w:r w:rsidRPr="00AD484F">
              <w:rPr>
                <w:lang w:val="en-US"/>
              </w:rPr>
              <w:t xml:space="preserve"> with delay spread</w:t>
            </w:r>
            <w:r>
              <w:rPr>
                <w:lang w:val="en-US"/>
              </w:rPr>
              <w:t xml:space="preserve"> </w:t>
            </w:r>
          </w:p>
        </w:tc>
      </w:tr>
      <w:tr w:rsidR="00857CBD" w14:paraId="04B9D1BB" w14:textId="77777777" w:rsidTr="00615BA7">
        <w:trPr>
          <w:jc w:val="center"/>
        </w:trPr>
        <w:tc>
          <w:tcPr>
            <w:tcW w:w="1984" w:type="dxa"/>
          </w:tcPr>
          <w:p w14:paraId="2D40AE73" w14:textId="6AA56AB1" w:rsidR="00857CBD" w:rsidRPr="000E4DF5" w:rsidRDefault="00136C0B" w:rsidP="00615BA7">
            <w:pPr>
              <w:rPr>
                <w:lang w:val="en-US"/>
              </w:rPr>
            </w:pPr>
            <w:r w:rsidRPr="00AD484F">
              <w:rPr>
                <w:lang w:val="en-US"/>
              </w:rPr>
              <w:t>delay spread</w:t>
            </w:r>
          </w:p>
        </w:tc>
        <w:tc>
          <w:tcPr>
            <w:tcW w:w="4820" w:type="dxa"/>
          </w:tcPr>
          <w:p w14:paraId="2571403B" w14:textId="74FB1CA8" w:rsidR="00857CBD" w:rsidRDefault="00136C0B" w:rsidP="00615BA7">
            <w:r>
              <w:rPr>
                <w:lang w:val="en-US"/>
              </w:rPr>
              <w:t>300ns</w:t>
            </w:r>
          </w:p>
        </w:tc>
      </w:tr>
      <w:tr w:rsidR="00136C0B" w14:paraId="7B532418" w14:textId="77777777" w:rsidTr="00615BA7">
        <w:trPr>
          <w:jc w:val="center"/>
        </w:trPr>
        <w:tc>
          <w:tcPr>
            <w:tcW w:w="1984" w:type="dxa"/>
          </w:tcPr>
          <w:p w14:paraId="35A46ACB" w14:textId="2694B47F" w:rsidR="00136C0B" w:rsidRPr="000E4DF5" w:rsidRDefault="00136C0B" w:rsidP="00136C0B">
            <w:pPr>
              <w:rPr>
                <w:lang w:val="en-US"/>
              </w:rPr>
            </w:pPr>
            <w:r w:rsidRPr="000E4DF5">
              <w:rPr>
                <w:lang w:val="en-US"/>
              </w:rPr>
              <w:t>UE speed:</w:t>
            </w:r>
            <w:r w:rsidRPr="000E4DF5">
              <w:rPr>
                <w:lang w:val="en-US"/>
              </w:rPr>
              <w:tab/>
            </w:r>
          </w:p>
        </w:tc>
        <w:tc>
          <w:tcPr>
            <w:tcW w:w="4820" w:type="dxa"/>
          </w:tcPr>
          <w:p w14:paraId="7FA1C017" w14:textId="31DD2CCD" w:rsidR="00136C0B" w:rsidRPr="000E4DF5" w:rsidRDefault="00136C0B" w:rsidP="00136C0B">
            <w:pPr>
              <w:rPr>
                <w:lang w:val="en-US"/>
              </w:rPr>
            </w:pPr>
            <w:r w:rsidRPr="000E4DF5">
              <w:rPr>
                <w:lang w:val="en-US"/>
              </w:rPr>
              <w:t>3 km</w:t>
            </w:r>
            <w:r w:rsidRPr="00B91D93">
              <w:t xml:space="preserve">/h </w:t>
            </w:r>
            <w:r w:rsidRPr="00B91D93">
              <w:tab/>
            </w:r>
          </w:p>
        </w:tc>
      </w:tr>
      <w:tr w:rsidR="00136C0B" w14:paraId="6A7FBC9A" w14:textId="77777777" w:rsidTr="00615BA7">
        <w:trPr>
          <w:jc w:val="center"/>
        </w:trPr>
        <w:tc>
          <w:tcPr>
            <w:tcW w:w="1984" w:type="dxa"/>
          </w:tcPr>
          <w:p w14:paraId="67AFB28C" w14:textId="77777777" w:rsidR="00136C0B" w:rsidRDefault="00136C0B" w:rsidP="00136C0B">
            <w:r>
              <w:t>antennas</w:t>
            </w:r>
          </w:p>
        </w:tc>
        <w:tc>
          <w:tcPr>
            <w:tcW w:w="4820" w:type="dxa"/>
          </w:tcPr>
          <w:p w14:paraId="5A6186DD" w14:textId="77777777" w:rsidR="00136C0B" w:rsidRPr="00576DDE" w:rsidRDefault="00136C0B" w:rsidP="00136C0B">
            <w:r>
              <w:t xml:space="preserve">1 </w:t>
            </w:r>
            <w:r w:rsidRPr="00B91D93">
              <w:t xml:space="preserve">Tx </w:t>
            </w:r>
            <w:r>
              <w:t>and 2/4/8 Rx</w:t>
            </w:r>
          </w:p>
        </w:tc>
      </w:tr>
      <w:tr w:rsidR="00136C0B" w14:paraId="6E42770D" w14:textId="77777777" w:rsidTr="00615BA7">
        <w:trPr>
          <w:jc w:val="center"/>
        </w:trPr>
        <w:tc>
          <w:tcPr>
            <w:tcW w:w="1984" w:type="dxa"/>
          </w:tcPr>
          <w:p w14:paraId="41734480" w14:textId="77777777" w:rsidR="00136C0B" w:rsidRDefault="00136C0B" w:rsidP="00136C0B">
            <w:r w:rsidRPr="00B91D93">
              <w:t>SCS</w:t>
            </w:r>
          </w:p>
        </w:tc>
        <w:tc>
          <w:tcPr>
            <w:tcW w:w="4820" w:type="dxa"/>
          </w:tcPr>
          <w:p w14:paraId="7E17B332" w14:textId="77777777" w:rsidR="00136C0B" w:rsidRDefault="00136C0B" w:rsidP="00136C0B">
            <w:r w:rsidRPr="00B91D93">
              <w:t>15 kHz</w:t>
            </w:r>
          </w:p>
        </w:tc>
      </w:tr>
      <w:tr w:rsidR="00136C0B" w14:paraId="54384F94" w14:textId="77777777" w:rsidTr="00615BA7">
        <w:trPr>
          <w:jc w:val="center"/>
        </w:trPr>
        <w:tc>
          <w:tcPr>
            <w:tcW w:w="1984" w:type="dxa"/>
          </w:tcPr>
          <w:p w14:paraId="06DE3186" w14:textId="77777777" w:rsidR="00136C0B" w:rsidRDefault="00136C0B" w:rsidP="00136C0B">
            <w:r w:rsidRPr="00B91D93">
              <w:t>Channel estimation</w:t>
            </w:r>
          </w:p>
        </w:tc>
        <w:tc>
          <w:tcPr>
            <w:tcW w:w="4820" w:type="dxa"/>
          </w:tcPr>
          <w:p w14:paraId="151EA8A4" w14:textId="77777777" w:rsidR="00136C0B" w:rsidRDefault="00136C0B" w:rsidP="00136C0B">
            <w:r w:rsidRPr="00B91D93">
              <w:t>practical</w:t>
            </w:r>
          </w:p>
        </w:tc>
      </w:tr>
      <w:tr w:rsidR="00136C0B" w14:paraId="60A9E84B" w14:textId="77777777" w:rsidTr="00615BA7">
        <w:trPr>
          <w:jc w:val="center"/>
        </w:trPr>
        <w:tc>
          <w:tcPr>
            <w:tcW w:w="1984" w:type="dxa"/>
          </w:tcPr>
          <w:p w14:paraId="0F51BCDB" w14:textId="77777777" w:rsidR="00136C0B" w:rsidRDefault="00136C0B" w:rsidP="00136C0B">
            <w:r w:rsidRPr="00B91D93">
              <w:t>Noise estimation</w:t>
            </w:r>
          </w:p>
        </w:tc>
        <w:tc>
          <w:tcPr>
            <w:tcW w:w="4820" w:type="dxa"/>
          </w:tcPr>
          <w:p w14:paraId="4DC6DA1A" w14:textId="77777777" w:rsidR="00136C0B" w:rsidRDefault="00136C0B" w:rsidP="00136C0B">
            <w:r w:rsidRPr="00B91D93">
              <w:t>ideal</w:t>
            </w:r>
          </w:p>
        </w:tc>
      </w:tr>
    </w:tbl>
    <w:p w14:paraId="3B3B0911" w14:textId="535CF41C" w:rsidR="00F90AAF" w:rsidRDefault="00F90AAF" w:rsidP="00F90AAF"/>
    <w:p w14:paraId="34487B06" w14:textId="1D9013F7" w:rsidR="00136C0B" w:rsidRPr="0063438F" w:rsidRDefault="00136C0B" w:rsidP="00F90AAF">
      <w:pPr>
        <w:rPr>
          <w:lang w:val="en-US"/>
        </w:rPr>
      </w:pPr>
      <w:r w:rsidRPr="0063438F">
        <w:rPr>
          <w:lang w:val="en-US"/>
        </w:rPr>
        <w:lastRenderedPageBreak/>
        <w:t>In following two figures, we see the performance comparison, of two candidate diversity techniques, namely SFBC and CDD. It can be seen that at low SNR the performance is the same for both diversity schemes. However, at higher SNR values, SFBC outperforms CDD in the whole SNR range. Based on these results we decide, in the following, to focus only on SFBC and compare it with single tx-antenna transmission.</w:t>
      </w:r>
    </w:p>
    <w:p w14:paraId="6F7F1B31" w14:textId="1D2FCAA3" w:rsidR="00136C0B" w:rsidRPr="0063438F" w:rsidRDefault="00136C0B" w:rsidP="00136C0B">
      <w:pPr>
        <w:pStyle w:val="Observation"/>
        <w:rPr>
          <w:lang w:val="en-US"/>
        </w:rPr>
      </w:pPr>
      <w:bookmarkStart w:id="4" w:name="_Toc498506379"/>
      <w:r w:rsidRPr="0063438F">
        <w:rPr>
          <w:lang w:val="en-US"/>
        </w:rPr>
        <w:t>SFBC outperforms CDD for medium payload transmission in s</w:t>
      </w:r>
      <w:r w:rsidR="00C73931" w:rsidRPr="0063438F">
        <w:rPr>
          <w:lang w:val="en-US"/>
        </w:rPr>
        <w:t xml:space="preserve">hort </w:t>
      </w:r>
      <w:r w:rsidRPr="0063438F">
        <w:rPr>
          <w:lang w:val="en-US"/>
        </w:rPr>
        <w:t>PUCCH.</w:t>
      </w:r>
      <w:bookmarkEnd w:id="4"/>
    </w:p>
    <w:p w14:paraId="7664FF76" w14:textId="77777777" w:rsidR="00136C0B" w:rsidRPr="0063438F" w:rsidRDefault="00136C0B" w:rsidP="00136C0B">
      <w:pPr>
        <w:pStyle w:val="Caption"/>
        <w:rPr>
          <w:lang w:val="en-US"/>
        </w:rPr>
        <w:sectPr w:rsidR="00136C0B" w:rsidRPr="0063438F">
          <w:footnotePr>
            <w:numRestart w:val="eachSect"/>
          </w:footnotePr>
          <w:pgSz w:w="11907" w:h="16840" w:code="9"/>
          <w:pgMar w:top="1418" w:right="1134" w:bottom="1134" w:left="1134" w:header="680" w:footer="567" w:gutter="0"/>
          <w:cols w:space="720"/>
        </w:sectPr>
      </w:pPr>
    </w:p>
    <w:p w14:paraId="457E7F3E" w14:textId="3AA070C8" w:rsidR="00136C0B" w:rsidRDefault="00BF6A99" w:rsidP="00136C0B">
      <w:pPr>
        <w:pStyle w:val="Caption"/>
        <w:jc w:val="both"/>
        <w:rPr>
          <w:lang w:val="en-US"/>
        </w:rPr>
      </w:pPr>
      <w:r w:rsidRPr="00BF6A99">
        <w:rPr>
          <w:noProof/>
          <w:lang w:val="en-US"/>
        </w:rPr>
        <w:drawing>
          <wp:inline distT="0" distB="0" distL="0" distR="0" wp14:anchorId="698C5896" wp14:editId="065100FF">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1</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without frequency hopping</w:t>
      </w:r>
    </w:p>
    <w:p w14:paraId="6B189A82" w14:textId="20BB821D" w:rsidR="00136C0B" w:rsidRPr="0063438F" w:rsidRDefault="00BF6A99" w:rsidP="00136C0B">
      <w:pPr>
        <w:pStyle w:val="Caption"/>
        <w:jc w:val="both"/>
        <w:rPr>
          <w:lang w:val="en-US"/>
        </w:rPr>
      </w:pPr>
      <w:r w:rsidRPr="00BF6A99">
        <w:rPr>
          <w:noProof/>
          <w:lang w:val="en-US"/>
        </w:rPr>
        <w:drawing>
          <wp:inline distT="0" distB="0" distL="0" distR="0" wp14:anchorId="07212517" wp14:editId="1873E5C8">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r w:rsidR="00136C0B" w:rsidRPr="00B0209B">
        <w:rPr>
          <w:lang w:val="en-US"/>
        </w:rPr>
        <w:t xml:space="preserve">Figure </w:t>
      </w:r>
      <w:r w:rsidR="00136C0B">
        <w:fldChar w:fldCharType="begin"/>
      </w:r>
      <w:r w:rsidR="00136C0B" w:rsidRPr="00B0209B">
        <w:rPr>
          <w:lang w:val="en-US"/>
        </w:rPr>
        <w:instrText xml:space="preserve"> SEQ Figure \* ARABIC </w:instrText>
      </w:r>
      <w:r w:rsidR="00136C0B">
        <w:fldChar w:fldCharType="separate"/>
      </w:r>
      <w:r w:rsidR="00136C0B">
        <w:rPr>
          <w:noProof/>
          <w:lang w:val="en-US"/>
        </w:rPr>
        <w:t>2</w:t>
      </w:r>
      <w:r w:rsidR="00136C0B">
        <w:fldChar w:fldCharType="end"/>
      </w:r>
      <w:r w:rsidR="00136C0B" w:rsidRPr="00B0209B">
        <w:rPr>
          <w:lang w:val="en-US"/>
        </w:rPr>
        <w:t xml:space="preserve">: </w:t>
      </w:r>
      <w:r w:rsidR="00136C0B">
        <w:rPr>
          <w:lang w:val="en-US"/>
        </w:rPr>
        <w:t>Performance comparison of diversity techniques in 2-symbol PUCCH with 2 RX antennas</w:t>
      </w:r>
      <w:r w:rsidR="00136C0B" w:rsidRPr="00D14C62">
        <w:rPr>
          <w:lang w:val="en-US"/>
        </w:rPr>
        <w:t xml:space="preserve">, </w:t>
      </w:r>
      <w:r w:rsidR="00136C0B">
        <w:rPr>
          <w:lang w:val="en-US"/>
        </w:rPr>
        <w:t>4 PRBs and with frequency hopping</w:t>
      </w:r>
    </w:p>
    <w:p w14:paraId="465195CE" w14:textId="77777777" w:rsidR="00136C0B" w:rsidRPr="0063438F" w:rsidRDefault="00136C0B" w:rsidP="00136C0B">
      <w:pPr>
        <w:rPr>
          <w:lang w:val="en-US"/>
        </w:rPr>
        <w:sectPr w:rsidR="00136C0B" w:rsidRPr="0063438F" w:rsidSect="00136C0B">
          <w:footnotePr>
            <w:numRestart w:val="eachSect"/>
          </w:footnotePr>
          <w:type w:val="continuous"/>
          <w:pgSz w:w="11907" w:h="16840" w:code="9"/>
          <w:pgMar w:top="1418" w:right="1134" w:bottom="1134" w:left="1134" w:header="680" w:footer="567" w:gutter="0"/>
          <w:cols w:num="2" w:space="227"/>
        </w:sectPr>
      </w:pPr>
    </w:p>
    <w:p w14:paraId="69F8DE12" w14:textId="582D3F32" w:rsidR="00B41BC4" w:rsidRPr="00B41BC4" w:rsidRDefault="00857CBD" w:rsidP="00B41BC4">
      <w:pPr>
        <w:pStyle w:val="Heading3"/>
      </w:pPr>
      <w:r>
        <w:t>Repetition without frequency hopping</w:t>
      </w:r>
    </w:p>
    <w:p w14:paraId="70DED800" w14:textId="51C98BC3" w:rsidR="00B41BC4" w:rsidRDefault="00857CBD" w:rsidP="00857CBD">
      <w:pPr>
        <w:rPr>
          <w:lang w:val="en-US"/>
        </w:rPr>
      </w:pPr>
      <w:r>
        <w:rPr>
          <w:lang w:val="en-US"/>
        </w:rPr>
        <w:t xml:space="preserve">The baseline setup for comparison comprises the two-symbol PUCCH. In </w:t>
      </w:r>
      <w:r>
        <w:rPr>
          <w:lang w:val="en-US"/>
        </w:rPr>
        <w:fldChar w:fldCharType="begin"/>
      </w:r>
      <w:r>
        <w:rPr>
          <w:lang w:val="en-US"/>
        </w:rPr>
        <w:instrText xml:space="preserve"> REF _Ref498349886 \h </w:instrText>
      </w:r>
      <w:r>
        <w:rPr>
          <w:lang w:val="en-US"/>
        </w:rPr>
      </w:r>
      <w:r>
        <w:rPr>
          <w:lang w:val="en-US"/>
        </w:rPr>
        <w:fldChar w:fldCharType="separate"/>
      </w:r>
      <w:r w:rsidR="00136C0B" w:rsidRPr="00B0209B">
        <w:rPr>
          <w:lang w:val="en-US"/>
        </w:rPr>
        <w:t xml:space="preserve">Figure </w:t>
      </w:r>
      <w:r w:rsidR="00136C0B">
        <w:rPr>
          <w:noProof/>
          <w:lang w:val="en-US"/>
        </w:rPr>
        <w:t>3</w:t>
      </w:r>
      <w:r>
        <w:rPr>
          <w:lang w:val="en-US"/>
        </w:rPr>
        <w:fldChar w:fldCharType="end"/>
      </w:r>
      <w:r>
        <w:rPr>
          <w:lang w:val="en-US"/>
        </w:rPr>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yet here the SNR cross-over points shift to higher SNR values and diversity is beneficial at a smaller SNR range. However, the SNR values where 10-5 BLER can achieved are too high to be applicable to </w:t>
      </w:r>
      <w:r w:rsidR="00B41BC4">
        <w:rPr>
          <w:lang w:val="en-US"/>
        </w:rPr>
        <w:t>URLLC</w:t>
      </w:r>
      <w:r>
        <w:rPr>
          <w:lang w:val="en-US"/>
        </w:rPr>
        <w:t xml:space="preserve">. Based on these results, we can make the following observation: </w:t>
      </w:r>
    </w:p>
    <w:p w14:paraId="4DF8A2C1" w14:textId="5936C9E4" w:rsidR="00B41BC4" w:rsidRPr="0063438F" w:rsidRDefault="00B41BC4" w:rsidP="00857CBD">
      <w:pPr>
        <w:pStyle w:val="Observation"/>
        <w:rPr>
          <w:lang w:val="en-US"/>
        </w:rPr>
      </w:pPr>
      <w:bookmarkStart w:id="5" w:name="_Toc498432976"/>
      <w:bookmarkStart w:id="6" w:name="_Toc498506380"/>
      <w:r w:rsidRPr="0063438F">
        <w:rPr>
          <w:lang w:val="en-US"/>
        </w:rPr>
        <w:t>SFBC can outperform no diversity for short PUCCH without frequency hopping, yet the performance is not sufficient for the purposes of URLLC.</w:t>
      </w:r>
      <w:bookmarkEnd w:id="5"/>
      <w:bookmarkEnd w:id="6"/>
    </w:p>
    <w:p w14:paraId="2BDE1D46" w14:textId="48DC7348" w:rsidR="00BF6A99" w:rsidRDefault="00BF6A99" w:rsidP="00BF6A99">
      <w:pPr>
        <w:keepNext/>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0E4752CE" w14:textId="41F33FA9" w:rsidR="00857CBD" w:rsidRPr="00FE0108" w:rsidRDefault="00857CBD" w:rsidP="00857CBD">
      <w:pPr>
        <w:keepNext/>
        <w:jc w:val="center"/>
        <w:rPr>
          <w:lang w:val="en-US"/>
        </w:rPr>
      </w:pPr>
      <w:r w:rsidRPr="00553115">
        <w:rPr>
          <w:noProof/>
          <w:lang w:val="en-US"/>
        </w:rPr>
        <w:lastRenderedPageBreak/>
        <w:drawing>
          <wp:inline distT="0" distB="0" distL="0" distR="0" wp14:anchorId="2124CD91" wp14:editId="0467416B">
            <wp:extent cx="3125187" cy="269154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2393" t="4981" r="6858" b="1136"/>
                    <a:stretch/>
                  </pic:blipFill>
                  <pic:spPr bwMode="auto">
                    <a:xfrm>
                      <a:off x="0" y="0"/>
                      <a:ext cx="3132971" cy="2698251"/>
                    </a:xfrm>
                    <a:prstGeom prst="rect">
                      <a:avLst/>
                    </a:prstGeom>
                    <a:noFill/>
                    <a:ln>
                      <a:noFill/>
                    </a:ln>
                    <a:extLst>
                      <a:ext uri="{53640926-AAD7-44D8-BBD7-CCE9431645EC}">
                        <a14:shadowObscured xmlns:a14="http://schemas.microsoft.com/office/drawing/2010/main"/>
                      </a:ext>
                    </a:extLst>
                  </pic:spPr>
                </pic:pic>
              </a:graphicData>
            </a:graphic>
          </wp:inline>
        </w:drawing>
      </w:r>
    </w:p>
    <w:p w14:paraId="6140521F" w14:textId="2DEB3595" w:rsidR="00857CBD" w:rsidRPr="0063438F" w:rsidRDefault="00857CBD" w:rsidP="00857CBD">
      <w:pPr>
        <w:pStyle w:val="Caption"/>
        <w:jc w:val="both"/>
        <w:rPr>
          <w:lang w:val="en-US"/>
        </w:rPr>
      </w:pPr>
      <w:bookmarkStart w:id="7" w:name="_Ref498349886"/>
      <w:r w:rsidRPr="00B0209B">
        <w:rPr>
          <w:lang w:val="en-US"/>
        </w:rPr>
        <w:t xml:space="preserve">Figure </w:t>
      </w:r>
      <w:r>
        <w:fldChar w:fldCharType="begin"/>
      </w:r>
      <w:r w:rsidRPr="00B0209B">
        <w:rPr>
          <w:lang w:val="en-US"/>
        </w:rPr>
        <w:instrText xml:space="preserve"> SEQ Figure \* ARABIC </w:instrText>
      </w:r>
      <w:r>
        <w:fldChar w:fldCharType="separate"/>
      </w:r>
      <w:r w:rsidR="00136C0B">
        <w:rPr>
          <w:noProof/>
          <w:lang w:val="en-US"/>
        </w:rPr>
        <w:t>3</w:t>
      </w:r>
      <w:r>
        <w:fldChar w:fldCharType="end"/>
      </w:r>
      <w:bookmarkEnd w:id="7"/>
      <w:r w:rsidRPr="00B0209B">
        <w:rPr>
          <w:lang w:val="en-US"/>
        </w:rPr>
        <w:t xml:space="preserve">: </w:t>
      </w:r>
      <w:r>
        <w:rPr>
          <w:lang w:val="en-US"/>
        </w:rPr>
        <w:t>Performance evaluation of tx diversity in 2-symbol PUCCH with 2 RX antennas</w:t>
      </w:r>
      <w:r w:rsidRPr="00D14C62">
        <w:rPr>
          <w:lang w:val="en-US"/>
        </w:rPr>
        <w:t xml:space="preserve">, </w:t>
      </w:r>
      <w:r>
        <w:rPr>
          <w:lang w:val="en-US"/>
        </w:rPr>
        <w:t>4 PRBs and without frequency hopping</w:t>
      </w:r>
    </w:p>
    <w:p w14:paraId="7B9B4C52" w14:textId="77777777" w:rsidR="00857CBD" w:rsidRPr="00553115" w:rsidRDefault="00857CBD" w:rsidP="00857CBD">
      <w:pPr>
        <w:keepNext/>
        <w:jc w:val="center"/>
      </w:pPr>
      <w:r w:rsidRPr="00553115">
        <w:rPr>
          <w:noProof/>
          <w:lang w:val="en-US"/>
        </w:rPr>
        <w:drawing>
          <wp:inline distT="0" distB="0" distL="0" distR="0" wp14:anchorId="372974B6" wp14:editId="71F3C741">
            <wp:extent cx="3158174" cy="26866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3036" t="5762" r="7588" b="1107"/>
                    <a:stretch/>
                  </pic:blipFill>
                  <pic:spPr bwMode="auto">
                    <a:xfrm>
                      <a:off x="0" y="0"/>
                      <a:ext cx="3166165" cy="2693483"/>
                    </a:xfrm>
                    <a:prstGeom prst="rect">
                      <a:avLst/>
                    </a:prstGeom>
                    <a:noFill/>
                    <a:ln>
                      <a:noFill/>
                    </a:ln>
                    <a:extLst>
                      <a:ext uri="{53640926-AAD7-44D8-BBD7-CCE9431645EC}">
                        <a14:shadowObscured xmlns:a14="http://schemas.microsoft.com/office/drawing/2010/main"/>
                      </a:ext>
                    </a:extLst>
                  </pic:spPr>
                </pic:pic>
              </a:graphicData>
            </a:graphic>
          </wp:inline>
        </w:drawing>
      </w:r>
    </w:p>
    <w:p w14:paraId="0FCBD68F" w14:textId="39EB46C1" w:rsidR="00857CBD" w:rsidRDefault="00857CBD" w:rsidP="00857CBD">
      <w:pPr>
        <w:pStyle w:val="Caption"/>
        <w:spacing w:after="120"/>
        <w:jc w:val="both"/>
        <w:rPr>
          <w:lang w:val="en-US"/>
        </w:rPr>
      </w:pPr>
      <w:bookmarkStart w:id="8" w:name="_Ref484613053"/>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4</w:t>
      </w:r>
      <w:r>
        <w:rPr>
          <w:noProof/>
        </w:rPr>
        <w:fldChar w:fldCharType="end"/>
      </w:r>
      <w:bookmarkEnd w:id="8"/>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4 PRBs and without frequency hopping.</w:t>
      </w:r>
    </w:p>
    <w:p w14:paraId="75CB90F5" w14:textId="77777777" w:rsidR="00BF6A99" w:rsidRDefault="00BF6A99" w:rsidP="00B41BC4">
      <w:pPr>
        <w:pStyle w:val="Heading3"/>
        <w:sectPr w:rsidR="00BF6A99" w:rsidSect="00BF6A99">
          <w:footnotePr>
            <w:numRestart w:val="eachSect"/>
          </w:footnotePr>
          <w:type w:val="continuous"/>
          <w:pgSz w:w="11907" w:h="16840" w:code="9"/>
          <w:pgMar w:top="1418" w:right="1134" w:bottom="1134" w:left="1134" w:header="680" w:footer="567" w:gutter="0"/>
          <w:cols w:num="2" w:space="170"/>
        </w:sectPr>
      </w:pPr>
    </w:p>
    <w:p w14:paraId="2E75BE1A" w14:textId="0315C8F8" w:rsidR="00B41BC4" w:rsidRPr="00B41BC4" w:rsidRDefault="00857CBD" w:rsidP="00B41BC4">
      <w:pPr>
        <w:pStyle w:val="Heading3"/>
      </w:pPr>
      <w:r>
        <w:t>Repetition with frequency hopping</w:t>
      </w:r>
    </w:p>
    <w:p w14:paraId="179451B3" w14:textId="1CA146B7" w:rsidR="00857CBD" w:rsidRDefault="00857CBD" w:rsidP="00857CBD">
      <w:pPr>
        <w:rPr>
          <w:lang w:val="en-US"/>
        </w:rPr>
      </w:pPr>
      <w:r>
        <w:rPr>
          <w:lang w:val="en-US"/>
        </w:rPr>
        <w:t xml:space="preserve">For the 2-symbol PUCCH, frequency hopping is supported that can provide extra diversity in the system. In </w:t>
      </w:r>
      <w:r>
        <w:rPr>
          <w:lang w:val="en-US"/>
        </w:rPr>
        <w:fldChar w:fldCharType="begin"/>
      </w:r>
      <w:r>
        <w:rPr>
          <w:lang w:val="en-US"/>
        </w:rPr>
        <w:instrText xml:space="preserve"> REF _Ref484613056 \h </w:instrText>
      </w:r>
      <w:r>
        <w:rPr>
          <w:lang w:val="en-US"/>
        </w:rPr>
      </w:r>
      <w:r>
        <w:rPr>
          <w:lang w:val="en-US"/>
        </w:rPr>
        <w:fldChar w:fldCharType="separate"/>
      </w:r>
      <w:r w:rsidR="00136C0B" w:rsidRPr="00AD484F">
        <w:rPr>
          <w:lang w:val="en-US"/>
        </w:rPr>
        <w:t xml:space="preserve">Figure </w:t>
      </w:r>
      <w:r w:rsidR="00136C0B">
        <w:rPr>
          <w:noProof/>
          <w:lang w:val="en-US"/>
        </w:rPr>
        <w:t>5</w:t>
      </w:r>
      <w:r>
        <w:rPr>
          <w:lang w:val="en-US"/>
        </w:rPr>
        <w:fldChar w:fldCharType="end"/>
      </w:r>
      <w:r>
        <w:rPr>
          <w:lang w:val="en-US"/>
        </w:rPr>
        <w:t xml:space="preserve">, we have a similar behavior as in </w:t>
      </w:r>
      <w:r>
        <w:rPr>
          <w:lang w:val="en-US"/>
        </w:rPr>
        <w:fldChar w:fldCharType="begin"/>
      </w:r>
      <w:r>
        <w:rPr>
          <w:lang w:val="en-US"/>
        </w:rPr>
        <w:instrText xml:space="preserve"> REF _Ref484613053 \h </w:instrText>
      </w:r>
      <w:r>
        <w:rPr>
          <w:lang w:val="en-US"/>
        </w:rPr>
      </w:r>
      <w:r>
        <w:rPr>
          <w:lang w:val="en-US"/>
        </w:rPr>
        <w:fldChar w:fldCharType="separate"/>
      </w:r>
      <w:r w:rsidR="00136C0B" w:rsidRPr="00AD484F">
        <w:rPr>
          <w:lang w:val="en-US"/>
        </w:rPr>
        <w:t xml:space="preserve">Figure </w:t>
      </w:r>
      <w:r w:rsidR="00136C0B">
        <w:rPr>
          <w:noProof/>
          <w:lang w:val="en-US"/>
        </w:rPr>
        <w:t>4</w:t>
      </w:r>
      <w:r>
        <w:rPr>
          <w:lang w:val="en-US"/>
        </w:rPr>
        <w:fldChar w:fldCharType="end"/>
      </w:r>
      <w:r>
        <w:rPr>
          <w:lang w:val="en-US"/>
        </w:rPr>
        <w:t xml:space="preserve">, namely that SFBC outperforms single-antenna transmission for a small fraction of the SNR regime of interest. It is interesting to see </w:t>
      </w:r>
      <w:r>
        <w:rPr>
          <w:lang w:val="en-US"/>
        </w:rPr>
        <w:fldChar w:fldCharType="begin"/>
      </w:r>
      <w:r>
        <w:rPr>
          <w:lang w:val="en-US"/>
        </w:rPr>
        <w:instrText xml:space="preserve"> REF _Ref497399275 \h </w:instrText>
      </w:r>
      <w:r>
        <w:rPr>
          <w:lang w:val="en-US"/>
        </w:rPr>
      </w:r>
      <w:r>
        <w:rPr>
          <w:lang w:val="en-US"/>
        </w:rPr>
        <w:fldChar w:fldCharType="separate"/>
      </w:r>
      <w:r w:rsidR="00136C0B" w:rsidRPr="00AD484F">
        <w:rPr>
          <w:lang w:val="en-US"/>
        </w:rPr>
        <w:t xml:space="preserve">Figure </w:t>
      </w:r>
      <w:r w:rsidR="00136C0B">
        <w:rPr>
          <w:noProof/>
          <w:lang w:val="en-US"/>
        </w:rPr>
        <w:t>6</w:t>
      </w:r>
      <w:r>
        <w:rPr>
          <w:lang w:val="en-US"/>
        </w:rPr>
        <w:fldChar w:fldCharType="end"/>
      </w:r>
      <w:r>
        <w:rPr>
          <w:lang w:val="en-US"/>
        </w:rPr>
        <w:t xml:space="preserve">, where SFBC is outperformed by single-antenna transmitters; using frequency hopping when gNB is equipped with 4RX antennas is a better strategy in the whole SNR range.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w:t>
      </w:r>
      <w:r w:rsidR="00B41BC4">
        <w:rPr>
          <w:lang w:val="en-US"/>
        </w:rPr>
        <w:t>U</w:t>
      </w:r>
      <w:r>
        <w:rPr>
          <w:lang w:val="en-US"/>
        </w:rPr>
        <w:t>RLLC systems. Based on these results, we have the following observation:</w:t>
      </w:r>
    </w:p>
    <w:p w14:paraId="2B21C207" w14:textId="78D61162" w:rsidR="00B41BC4" w:rsidRPr="0063438F" w:rsidRDefault="00B41BC4" w:rsidP="00B41BC4">
      <w:pPr>
        <w:pStyle w:val="Observation"/>
        <w:rPr>
          <w:lang w:val="en-US"/>
        </w:rPr>
      </w:pPr>
      <w:bookmarkStart w:id="9" w:name="_Toc498432977"/>
      <w:bookmarkStart w:id="10" w:name="_Toc498506381"/>
      <w:r w:rsidRPr="0063438F">
        <w:rPr>
          <w:lang w:val="en-US"/>
        </w:rPr>
        <w:t>SFBC does not bring any gains when frequency hopping is employed. URLLC systems in NR, where multiple RX antennas and frequency hopping are supported, are not diversity deficient.</w:t>
      </w:r>
      <w:bookmarkEnd w:id="9"/>
      <w:bookmarkEnd w:id="10"/>
    </w:p>
    <w:p w14:paraId="6DD8BD34" w14:textId="6E831A49" w:rsidR="00BF6A99" w:rsidRDefault="00BF6A99" w:rsidP="00BF6A99">
      <w:pPr>
        <w:pStyle w:val="BodyText"/>
        <w:keepNext/>
        <w:spacing w:before="200"/>
        <w:rPr>
          <w:lang w:val="en-US"/>
        </w:rPr>
        <w:sectPr w:rsidR="00BF6A99" w:rsidSect="00136C0B">
          <w:footnotePr>
            <w:numRestart w:val="eachSect"/>
          </w:footnotePr>
          <w:type w:val="continuous"/>
          <w:pgSz w:w="11907" w:h="16840" w:code="9"/>
          <w:pgMar w:top="1418" w:right="1134" w:bottom="1134" w:left="1134" w:header="680" w:footer="567" w:gutter="0"/>
          <w:cols w:space="720"/>
        </w:sectPr>
      </w:pPr>
    </w:p>
    <w:p w14:paraId="4F0169CB" w14:textId="672ABE70" w:rsidR="00857CBD" w:rsidRPr="00083641" w:rsidRDefault="00857CBD" w:rsidP="00BF6A99">
      <w:pPr>
        <w:pStyle w:val="BodyText"/>
        <w:keepNext/>
        <w:jc w:val="center"/>
        <w:rPr>
          <w:lang w:val="en-US"/>
        </w:rPr>
      </w:pPr>
      <w:r w:rsidRPr="00553115">
        <w:rPr>
          <w:noProof/>
          <w:lang w:val="en-US"/>
        </w:rPr>
        <w:lastRenderedPageBreak/>
        <w:drawing>
          <wp:inline distT="0" distB="0" distL="0" distR="0" wp14:anchorId="62DF8790" wp14:editId="4FA17FB0">
            <wp:extent cx="3067811" cy="264853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3067" t="5313" r="8280"/>
                    <a:stretch/>
                  </pic:blipFill>
                  <pic:spPr bwMode="auto">
                    <a:xfrm>
                      <a:off x="0" y="0"/>
                      <a:ext cx="3079456" cy="2658586"/>
                    </a:xfrm>
                    <a:prstGeom prst="rect">
                      <a:avLst/>
                    </a:prstGeom>
                    <a:noFill/>
                    <a:ln>
                      <a:noFill/>
                    </a:ln>
                    <a:extLst>
                      <a:ext uri="{53640926-AAD7-44D8-BBD7-CCE9431645EC}">
                        <a14:shadowObscured xmlns:a14="http://schemas.microsoft.com/office/drawing/2010/main"/>
                      </a:ext>
                    </a:extLst>
                  </pic:spPr>
                </pic:pic>
              </a:graphicData>
            </a:graphic>
          </wp:inline>
        </w:drawing>
      </w:r>
    </w:p>
    <w:p w14:paraId="04448124" w14:textId="7B896BBC" w:rsidR="00857CBD" w:rsidRDefault="00857CBD" w:rsidP="00857CBD">
      <w:pPr>
        <w:pStyle w:val="Caption"/>
        <w:jc w:val="both"/>
        <w:rPr>
          <w:lang w:val="en-US"/>
        </w:rPr>
      </w:pPr>
      <w:bookmarkStart w:id="11" w:name="_Ref484613056"/>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5</w:t>
      </w:r>
      <w:r>
        <w:rPr>
          <w:noProof/>
        </w:rPr>
        <w:fldChar w:fldCharType="end"/>
      </w:r>
      <w:bookmarkEnd w:id="11"/>
      <w:r w:rsidRPr="00AD484F">
        <w:rPr>
          <w:lang w:val="en-US"/>
        </w:rPr>
        <w:t xml:space="preserve">: </w:t>
      </w:r>
      <w:r>
        <w:rPr>
          <w:lang w:val="en-US"/>
        </w:rPr>
        <w:t>Performance evaluation of tx diversity in 2-symbol PUCCH with 2 RX antennas</w:t>
      </w:r>
      <w:r w:rsidRPr="00D14C62">
        <w:rPr>
          <w:lang w:val="en-US"/>
        </w:rPr>
        <w:t xml:space="preserve">, </w:t>
      </w:r>
      <w:r>
        <w:rPr>
          <w:lang w:val="en-US"/>
        </w:rPr>
        <w:t>4 PRBs and with frequency hopping</w:t>
      </w:r>
    </w:p>
    <w:p w14:paraId="531B073C" w14:textId="77777777" w:rsidR="00857CBD" w:rsidRPr="00553115" w:rsidRDefault="00857CBD" w:rsidP="00857CBD">
      <w:pPr>
        <w:jc w:val="center"/>
        <w:rPr>
          <w:lang w:val="en-US"/>
        </w:rPr>
      </w:pPr>
      <w:r w:rsidRPr="00553115">
        <w:rPr>
          <w:noProof/>
          <w:lang w:val="en-US"/>
        </w:rPr>
        <w:drawing>
          <wp:inline distT="0" distB="0" distL="0" distR="0" wp14:anchorId="7730DB03" wp14:editId="14E6D6D8">
            <wp:extent cx="3034665" cy="2625504"/>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4418" t="5066" r="7758" b="1298"/>
                    <a:stretch/>
                  </pic:blipFill>
                  <pic:spPr bwMode="auto">
                    <a:xfrm>
                      <a:off x="0" y="0"/>
                      <a:ext cx="3057590" cy="2645338"/>
                    </a:xfrm>
                    <a:prstGeom prst="rect">
                      <a:avLst/>
                    </a:prstGeom>
                    <a:noFill/>
                    <a:ln>
                      <a:noFill/>
                    </a:ln>
                    <a:extLst>
                      <a:ext uri="{53640926-AAD7-44D8-BBD7-CCE9431645EC}">
                        <a14:shadowObscured xmlns:a14="http://schemas.microsoft.com/office/drawing/2010/main"/>
                      </a:ext>
                    </a:extLst>
                  </pic:spPr>
                </pic:pic>
              </a:graphicData>
            </a:graphic>
          </wp:inline>
        </w:drawing>
      </w:r>
    </w:p>
    <w:p w14:paraId="67D652C1" w14:textId="53B334AF" w:rsidR="00D95CA9" w:rsidRPr="00B41BC4" w:rsidRDefault="00857CBD" w:rsidP="00B41BC4">
      <w:pPr>
        <w:pStyle w:val="Caption"/>
        <w:spacing w:after="120"/>
        <w:jc w:val="both"/>
        <w:rPr>
          <w:lang w:val="en-US"/>
        </w:rPr>
      </w:pPr>
      <w:bookmarkStart w:id="12" w:name="_Ref497399275"/>
      <w:r w:rsidRPr="00AD484F">
        <w:rPr>
          <w:lang w:val="en-US"/>
        </w:rPr>
        <w:t xml:space="preserve">Figure </w:t>
      </w:r>
      <w:r>
        <w:fldChar w:fldCharType="begin"/>
      </w:r>
      <w:r w:rsidRPr="00AD484F">
        <w:rPr>
          <w:lang w:val="en-US"/>
        </w:rPr>
        <w:instrText xml:space="preserve"> SEQ Figure \* ARABIC </w:instrText>
      </w:r>
      <w:r>
        <w:fldChar w:fldCharType="separate"/>
      </w:r>
      <w:r w:rsidR="00136C0B">
        <w:rPr>
          <w:noProof/>
          <w:lang w:val="en-US"/>
        </w:rPr>
        <w:t>6</w:t>
      </w:r>
      <w:r>
        <w:rPr>
          <w:noProof/>
        </w:rPr>
        <w:fldChar w:fldCharType="end"/>
      </w:r>
      <w:bookmarkEnd w:id="12"/>
      <w:r w:rsidRPr="00AD484F">
        <w:rPr>
          <w:lang w:val="en-US"/>
        </w:rPr>
        <w:t xml:space="preserve">: </w:t>
      </w:r>
      <w:r>
        <w:rPr>
          <w:lang w:val="en-US"/>
        </w:rPr>
        <w:t>Performance evaluation of tx diversity in 2-symbol PUCCH with 4 RX antennas</w:t>
      </w:r>
      <w:r w:rsidRPr="00D14C62">
        <w:rPr>
          <w:lang w:val="en-US"/>
        </w:rPr>
        <w:t xml:space="preserve">, </w:t>
      </w:r>
      <w:r>
        <w:rPr>
          <w:lang w:val="en-US"/>
        </w:rPr>
        <w:t xml:space="preserve">4 </w:t>
      </w:r>
      <w:r w:rsidR="00B41BC4">
        <w:rPr>
          <w:lang w:val="en-US"/>
        </w:rPr>
        <w:t>PRBs and with frequency hopping</w:t>
      </w:r>
    </w:p>
    <w:p w14:paraId="4CFFB3D8" w14:textId="77777777" w:rsidR="00BF6A99" w:rsidRDefault="00BF6A99" w:rsidP="00CE0424">
      <w:pPr>
        <w:pStyle w:val="Heading1"/>
        <w:sectPr w:rsidR="00BF6A99" w:rsidSect="00BF6A99">
          <w:footnotePr>
            <w:numRestart w:val="eachSect"/>
          </w:footnotePr>
          <w:type w:val="continuous"/>
          <w:pgSz w:w="11907" w:h="16840" w:code="9"/>
          <w:pgMar w:top="1418" w:right="1134" w:bottom="1134" w:left="1134" w:header="680" w:footer="567" w:gutter="0"/>
          <w:cols w:num="2" w:space="170"/>
        </w:sectPr>
      </w:pPr>
    </w:p>
    <w:p w14:paraId="5060D584" w14:textId="1A671462" w:rsidR="005F6A6B" w:rsidRDefault="00C01F33" w:rsidP="00311702">
      <w:pPr>
        <w:pStyle w:val="Heading1"/>
      </w:pPr>
      <w:r w:rsidRPr="00CE0424">
        <w:t>Conclusion</w:t>
      </w:r>
    </w:p>
    <w:p w14:paraId="6F0EC445" w14:textId="77777777" w:rsidR="00136C0B" w:rsidRPr="0063438F" w:rsidRDefault="008E065E" w:rsidP="008E065E">
      <w:pPr>
        <w:pStyle w:val="BodyText"/>
        <w:rPr>
          <w:noProof/>
          <w:lang w:val="en-US"/>
        </w:rPr>
      </w:pPr>
      <w:r w:rsidRPr="0063438F">
        <w:rPr>
          <w:lang w:val="en-US"/>
        </w:rPr>
        <w:t xml:space="preserve">In section </w:t>
      </w:r>
      <w:r w:rsidRPr="00CE0424">
        <w:rPr>
          <w:highlight w:val="cyan"/>
        </w:rPr>
        <w:fldChar w:fldCharType="begin"/>
      </w:r>
      <w:r w:rsidRPr="0063438F">
        <w:rPr>
          <w:lang w:val="en-US"/>
        </w:rPr>
        <w:instrText xml:space="preserve"> REF _Ref178064866 \r \h </w:instrText>
      </w:r>
      <w:r w:rsidRPr="00CE0424">
        <w:rPr>
          <w:highlight w:val="cyan"/>
        </w:rPr>
      </w:r>
      <w:r w:rsidRPr="00CE0424">
        <w:rPr>
          <w:highlight w:val="cyan"/>
        </w:rPr>
        <w:fldChar w:fldCharType="separate"/>
      </w:r>
      <w:r w:rsidR="00136C0B" w:rsidRPr="0063438F">
        <w:rPr>
          <w:lang w:val="en-US"/>
        </w:rPr>
        <w:t>2</w:t>
      </w:r>
      <w:r w:rsidRPr="00CE0424">
        <w:rPr>
          <w:highlight w:val="cyan"/>
        </w:rPr>
        <w:fldChar w:fldCharType="end"/>
      </w:r>
      <w:r w:rsidRPr="0063438F">
        <w:rPr>
          <w:lang w:val="en-US"/>
        </w:rPr>
        <w:t xml:space="preserve"> we made the following observations:</w:t>
      </w:r>
      <w:r>
        <w:rPr>
          <w:b/>
          <w:bCs/>
        </w:rPr>
        <w:fldChar w:fldCharType="begin"/>
      </w:r>
      <w:r w:rsidRPr="0063438F">
        <w:rPr>
          <w:b/>
          <w:bCs/>
          <w:lang w:val="en-US"/>
        </w:rPr>
        <w:instrText xml:space="preserve"> TOC \f \n \t "Observation;1" </w:instrText>
      </w:r>
      <w:r>
        <w:rPr>
          <w:b/>
          <w:bCs/>
        </w:rPr>
        <w:fldChar w:fldCharType="separate"/>
      </w:r>
    </w:p>
    <w:p w14:paraId="248C8593" w14:textId="77777777" w:rsidR="00136C0B" w:rsidRPr="00136C0B" w:rsidRDefault="00136C0B">
      <w:pPr>
        <w:pStyle w:val="TOC1"/>
        <w:rPr>
          <w:rFonts w:asciiTheme="minorHAnsi" w:eastAsiaTheme="minorEastAsia" w:hAnsiTheme="minorHAnsi" w:cstheme="minorBidi"/>
          <w:b w:val="0"/>
          <w:sz w:val="22"/>
          <w:lang w:eastAsia="sv-SE"/>
        </w:rPr>
      </w:pPr>
      <w:r>
        <w:t>Observation 1</w:t>
      </w:r>
      <w:r w:rsidRPr="00136C0B">
        <w:rPr>
          <w:rFonts w:asciiTheme="minorHAnsi" w:eastAsiaTheme="minorEastAsia" w:hAnsiTheme="minorHAnsi" w:cstheme="minorBidi"/>
          <w:b w:val="0"/>
          <w:sz w:val="22"/>
          <w:lang w:eastAsia="sv-SE"/>
        </w:rPr>
        <w:tab/>
      </w:r>
      <w:r>
        <w:t>Transmit diversity such as CDD can provide performance gain at low BLER especially when used for relatively flat channel</w:t>
      </w:r>
    </w:p>
    <w:p w14:paraId="3DED31A4" w14:textId="77777777" w:rsidR="00136C0B" w:rsidRPr="00136C0B" w:rsidRDefault="00136C0B">
      <w:pPr>
        <w:pStyle w:val="TOC1"/>
        <w:rPr>
          <w:rFonts w:asciiTheme="minorHAnsi" w:eastAsiaTheme="minorEastAsia" w:hAnsiTheme="minorHAnsi" w:cstheme="minorBidi"/>
          <w:b w:val="0"/>
          <w:sz w:val="22"/>
          <w:lang w:eastAsia="sv-SE"/>
        </w:rPr>
      </w:pPr>
      <w:r>
        <w:t>Observation 2</w:t>
      </w:r>
      <w:r w:rsidRPr="00136C0B">
        <w:rPr>
          <w:rFonts w:asciiTheme="minorHAnsi" w:eastAsiaTheme="minorEastAsia" w:hAnsiTheme="minorHAnsi" w:cstheme="minorBidi"/>
          <w:b w:val="0"/>
          <w:sz w:val="22"/>
          <w:lang w:eastAsia="sv-SE"/>
        </w:rPr>
        <w:tab/>
      </w:r>
      <w:r>
        <w:t>SFBC outperforms CDD for medium payload transmission in sPUCCH.</w:t>
      </w:r>
    </w:p>
    <w:p w14:paraId="4F96473B" w14:textId="77777777" w:rsidR="00136C0B" w:rsidRPr="00136C0B" w:rsidRDefault="00136C0B">
      <w:pPr>
        <w:pStyle w:val="TOC1"/>
        <w:rPr>
          <w:rFonts w:asciiTheme="minorHAnsi" w:eastAsiaTheme="minorEastAsia" w:hAnsiTheme="minorHAnsi" w:cstheme="minorBidi"/>
          <w:b w:val="0"/>
          <w:sz w:val="22"/>
          <w:lang w:eastAsia="sv-SE"/>
        </w:rPr>
      </w:pPr>
      <w:r>
        <w:t>Observation 3</w:t>
      </w:r>
      <w:r w:rsidRPr="00136C0B">
        <w:rPr>
          <w:rFonts w:asciiTheme="minorHAnsi" w:eastAsiaTheme="minorEastAsia" w:hAnsiTheme="minorHAnsi" w:cstheme="minorBidi"/>
          <w:b w:val="0"/>
          <w:sz w:val="22"/>
          <w:lang w:eastAsia="sv-SE"/>
        </w:rPr>
        <w:tab/>
      </w:r>
      <w:r>
        <w:t>SFBC can outperform no diversity for short PUCCH without frequency hopping, yet the performance is not sufficient for the purposes of URLLC.</w:t>
      </w:r>
    </w:p>
    <w:p w14:paraId="5337766D" w14:textId="77777777" w:rsidR="00136C0B" w:rsidRPr="00136C0B" w:rsidRDefault="00136C0B">
      <w:pPr>
        <w:pStyle w:val="TOC1"/>
        <w:rPr>
          <w:rFonts w:asciiTheme="minorHAnsi" w:eastAsiaTheme="minorEastAsia" w:hAnsiTheme="minorHAnsi" w:cstheme="minorBidi"/>
          <w:b w:val="0"/>
          <w:sz w:val="22"/>
          <w:lang w:eastAsia="sv-SE"/>
        </w:rPr>
      </w:pPr>
      <w:r>
        <w:t>Observation 4</w:t>
      </w:r>
      <w:r w:rsidRPr="00136C0B">
        <w:rPr>
          <w:rFonts w:asciiTheme="minorHAnsi" w:eastAsiaTheme="minorEastAsia" w:hAnsiTheme="minorHAnsi" w:cstheme="minorBidi"/>
          <w:b w:val="0"/>
          <w:sz w:val="22"/>
          <w:lang w:eastAsia="sv-SE"/>
        </w:rPr>
        <w:tab/>
      </w:r>
      <w:r>
        <w:t>SFBC does not bring any gains when frequency hopping is employed. URLLC systems in NR, where multiple RX antennas and frequency hopping are supported, are not diversity deficient.</w:t>
      </w:r>
    </w:p>
    <w:p w14:paraId="68ED5EBF" w14:textId="77777777" w:rsidR="008E065E" w:rsidRPr="0063438F" w:rsidRDefault="008E065E" w:rsidP="008E065E">
      <w:pPr>
        <w:pStyle w:val="BodyText"/>
        <w:rPr>
          <w:b/>
          <w:bCs/>
          <w:lang w:val="en-US"/>
        </w:rPr>
      </w:pPr>
      <w:r>
        <w:rPr>
          <w:b/>
          <w:bCs/>
        </w:rPr>
        <w:fldChar w:fldCharType="end"/>
      </w:r>
    </w:p>
    <w:p w14:paraId="57B73A36" w14:textId="77777777" w:rsidR="00F507D1" w:rsidRPr="00CE0424" w:rsidRDefault="00F507D1" w:rsidP="00CE0424">
      <w:pPr>
        <w:pStyle w:val="Heading1"/>
      </w:pPr>
      <w:bookmarkStart w:id="13" w:name="_In-sequence_SDU_delivery"/>
      <w:bookmarkEnd w:id="13"/>
      <w:r w:rsidRPr="00CE0424">
        <w:t>References</w:t>
      </w:r>
    </w:p>
    <w:p w14:paraId="0E898486" w14:textId="32D02442" w:rsidR="00FD5D7E" w:rsidRPr="009D6390" w:rsidRDefault="00FD5D7E" w:rsidP="00FD5D7E">
      <w:pPr>
        <w:pStyle w:val="Reference"/>
        <w:numPr>
          <w:ilvl w:val="0"/>
          <w:numId w:val="15"/>
        </w:numPr>
        <w:rPr>
          <w:lang w:val="en-US"/>
        </w:rPr>
      </w:pPr>
      <w:bookmarkStart w:id="14" w:name="_Ref174151459"/>
      <w:bookmarkStart w:id="15" w:name="_Ref189809556"/>
      <w:r w:rsidRPr="009D6390">
        <w:rPr>
          <w:lang w:val="en-US"/>
        </w:rPr>
        <w:t>RP-171485 – “Revised WID on New Radio Access Technology”, NTT DOCOMO, INC, RAN75, West Palm Beach, USA, June 2017.</w:t>
      </w:r>
    </w:p>
    <w:p w14:paraId="760BCF6B" w14:textId="2C7E6C61" w:rsidR="00FD5D7E" w:rsidRPr="009D6390" w:rsidRDefault="00FD5D7E" w:rsidP="00FD5D7E">
      <w:pPr>
        <w:pStyle w:val="Reference"/>
        <w:numPr>
          <w:ilvl w:val="0"/>
          <w:numId w:val="15"/>
        </w:numPr>
        <w:rPr>
          <w:lang w:val="en-US"/>
        </w:rPr>
      </w:pPr>
      <w:r w:rsidRPr="009D6390">
        <w:rPr>
          <w:lang w:val="en-US"/>
        </w:rPr>
        <w:t>3GPP TR 38.913 – “Study on Scenarios and Requirements for Next Generation Access Technologies”, v14.2.0</w:t>
      </w:r>
    </w:p>
    <w:p w14:paraId="3781924F" w14:textId="22AC3444" w:rsidR="00410256" w:rsidRPr="009D6390" w:rsidRDefault="00410256" w:rsidP="00410256">
      <w:pPr>
        <w:pStyle w:val="Reference"/>
        <w:rPr>
          <w:lang w:val="en-US"/>
        </w:rPr>
      </w:pPr>
      <w:r w:rsidRPr="009D6390">
        <w:rPr>
          <w:lang w:val="en-US"/>
        </w:rPr>
        <w:t>R1-1718640, “On Transmit Diversity Schemes for PUCCH”, Oct 2017, Ericsson</w:t>
      </w:r>
    </w:p>
    <w:bookmarkEnd w:id="14"/>
    <w:bookmarkEnd w:id="15"/>
    <w:p w14:paraId="6EF5CF0A" w14:textId="77777777" w:rsidR="003A7EF3" w:rsidRPr="009D6390" w:rsidRDefault="003A7EF3" w:rsidP="00CE0424">
      <w:pPr>
        <w:pStyle w:val="BodyText"/>
        <w:rPr>
          <w:lang w:val="en-US"/>
        </w:rPr>
      </w:pPr>
    </w:p>
    <w:sectPr w:rsidR="003A7EF3" w:rsidRPr="009D6390" w:rsidSect="00136C0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F01EA" w14:textId="77777777" w:rsidR="0058099F" w:rsidRDefault="0058099F">
      <w:r>
        <w:separator/>
      </w:r>
    </w:p>
  </w:endnote>
  <w:endnote w:type="continuationSeparator" w:id="0">
    <w:p w14:paraId="2AF697E2" w14:textId="77777777" w:rsidR="0058099F" w:rsidRDefault="0058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96FF15" w14:textId="77777777" w:rsidR="0058099F" w:rsidRDefault="0058099F">
      <w:r>
        <w:separator/>
      </w:r>
    </w:p>
  </w:footnote>
  <w:footnote w:type="continuationSeparator" w:id="0">
    <w:p w14:paraId="54ECAC7F" w14:textId="77777777" w:rsidR="0058099F" w:rsidRDefault="00580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13"/>
  </w:num>
  <w:num w:numId="19">
    <w:abstractNumId w:val="11"/>
  </w:num>
  <w:num w:numId="20">
    <w:abstractNumId w:val="9"/>
  </w:num>
  <w:num w:numId="21">
    <w:abstractNumId w:val="21"/>
  </w:num>
  <w:num w:numId="22">
    <w:abstractNumId w:val="6"/>
  </w:num>
  <w:num w:numId="23">
    <w:abstractNumId w:val="5"/>
  </w:num>
  <w:num w:numId="2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D15"/>
    <w:rsid w:val="0002531D"/>
    <w:rsid w:val="0002564D"/>
    <w:rsid w:val="00025ECA"/>
    <w:rsid w:val="000325B8"/>
    <w:rsid w:val="000332D9"/>
    <w:rsid w:val="0003463A"/>
    <w:rsid w:val="00034C15"/>
    <w:rsid w:val="00036BA1"/>
    <w:rsid w:val="000422E2"/>
    <w:rsid w:val="00042F22"/>
    <w:rsid w:val="000444EF"/>
    <w:rsid w:val="00052A07"/>
    <w:rsid w:val="000534E3"/>
    <w:rsid w:val="0005606A"/>
    <w:rsid w:val="00057117"/>
    <w:rsid w:val="000616E7"/>
    <w:rsid w:val="00064338"/>
    <w:rsid w:val="0006487E"/>
    <w:rsid w:val="00065E1A"/>
    <w:rsid w:val="00077E5F"/>
    <w:rsid w:val="0008036A"/>
    <w:rsid w:val="00081AE6"/>
    <w:rsid w:val="00084978"/>
    <w:rsid w:val="000855EB"/>
    <w:rsid w:val="00085B52"/>
    <w:rsid w:val="000866F2"/>
    <w:rsid w:val="0009009F"/>
    <w:rsid w:val="00091557"/>
    <w:rsid w:val="000924C1"/>
    <w:rsid w:val="000924F0"/>
    <w:rsid w:val="00093474"/>
    <w:rsid w:val="0009510F"/>
    <w:rsid w:val="0009567B"/>
    <w:rsid w:val="000A1B7B"/>
    <w:rsid w:val="000A56F2"/>
    <w:rsid w:val="000B2719"/>
    <w:rsid w:val="000B3A8F"/>
    <w:rsid w:val="000B4AB9"/>
    <w:rsid w:val="000B58C3"/>
    <w:rsid w:val="000B61E9"/>
    <w:rsid w:val="000C165A"/>
    <w:rsid w:val="000C2E19"/>
    <w:rsid w:val="000D0D07"/>
    <w:rsid w:val="000D4797"/>
    <w:rsid w:val="000D6DC3"/>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6C0B"/>
    <w:rsid w:val="00137AB5"/>
    <w:rsid w:val="00137F0B"/>
    <w:rsid w:val="00151E23"/>
    <w:rsid w:val="001521A7"/>
    <w:rsid w:val="001526E0"/>
    <w:rsid w:val="001551B5"/>
    <w:rsid w:val="001659C1"/>
    <w:rsid w:val="00173A8E"/>
    <w:rsid w:val="00177795"/>
    <w:rsid w:val="00180E99"/>
    <w:rsid w:val="0018143F"/>
    <w:rsid w:val="00190AC1"/>
    <w:rsid w:val="0019341A"/>
    <w:rsid w:val="00197DF9"/>
    <w:rsid w:val="001A1987"/>
    <w:rsid w:val="001A2564"/>
    <w:rsid w:val="001A27C4"/>
    <w:rsid w:val="001A6173"/>
    <w:rsid w:val="001A6CBA"/>
    <w:rsid w:val="001B0D97"/>
    <w:rsid w:val="001B1F12"/>
    <w:rsid w:val="001B5A5D"/>
    <w:rsid w:val="001C1CE5"/>
    <w:rsid w:val="001C3D2A"/>
    <w:rsid w:val="001D51BA"/>
    <w:rsid w:val="001D6342"/>
    <w:rsid w:val="001D6D53"/>
    <w:rsid w:val="001D7228"/>
    <w:rsid w:val="001E58E2"/>
    <w:rsid w:val="001E5C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DDC"/>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FC"/>
    <w:rsid w:val="00364B46"/>
    <w:rsid w:val="00367175"/>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0D5F"/>
    <w:rsid w:val="003C11C8"/>
    <w:rsid w:val="003C1874"/>
    <w:rsid w:val="003C2702"/>
    <w:rsid w:val="003C7806"/>
    <w:rsid w:val="003D109F"/>
    <w:rsid w:val="003D2188"/>
    <w:rsid w:val="003D2478"/>
    <w:rsid w:val="003D3C45"/>
    <w:rsid w:val="003D5B1F"/>
    <w:rsid w:val="003D7FEF"/>
    <w:rsid w:val="003E15FA"/>
    <w:rsid w:val="003E55E4"/>
    <w:rsid w:val="003E74E3"/>
    <w:rsid w:val="003F05C7"/>
    <w:rsid w:val="003F2CD4"/>
    <w:rsid w:val="003F6BBE"/>
    <w:rsid w:val="004000E8"/>
    <w:rsid w:val="00402E2B"/>
    <w:rsid w:val="0040512B"/>
    <w:rsid w:val="00405CA5"/>
    <w:rsid w:val="00407CD3"/>
    <w:rsid w:val="00410134"/>
    <w:rsid w:val="00410256"/>
    <w:rsid w:val="00410B72"/>
    <w:rsid w:val="00410F18"/>
    <w:rsid w:val="0041263E"/>
    <w:rsid w:val="00413AAC"/>
    <w:rsid w:val="00414595"/>
    <w:rsid w:val="00420BCA"/>
    <w:rsid w:val="00421105"/>
    <w:rsid w:val="004242F4"/>
    <w:rsid w:val="00427248"/>
    <w:rsid w:val="00432B70"/>
    <w:rsid w:val="00437447"/>
    <w:rsid w:val="00441A92"/>
    <w:rsid w:val="00444F56"/>
    <w:rsid w:val="00446488"/>
    <w:rsid w:val="004517AA"/>
    <w:rsid w:val="00452CAC"/>
    <w:rsid w:val="00457565"/>
    <w:rsid w:val="00457B71"/>
    <w:rsid w:val="004669E2"/>
    <w:rsid w:val="00470C31"/>
    <w:rsid w:val="004734D0"/>
    <w:rsid w:val="0047556B"/>
    <w:rsid w:val="00476DC2"/>
    <w:rsid w:val="00477768"/>
    <w:rsid w:val="00492BC5"/>
    <w:rsid w:val="004964F1"/>
    <w:rsid w:val="004A16BC"/>
    <w:rsid w:val="004A248D"/>
    <w:rsid w:val="004A2B94"/>
    <w:rsid w:val="004A6361"/>
    <w:rsid w:val="004B7C0C"/>
    <w:rsid w:val="004C3898"/>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552E0"/>
    <w:rsid w:val="0056121F"/>
    <w:rsid w:val="00572505"/>
    <w:rsid w:val="0058099F"/>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74FB"/>
    <w:rsid w:val="005D1602"/>
    <w:rsid w:val="005E385F"/>
    <w:rsid w:val="005E5B81"/>
    <w:rsid w:val="005F2CB1"/>
    <w:rsid w:val="005F3025"/>
    <w:rsid w:val="005F618C"/>
    <w:rsid w:val="005F6A6B"/>
    <w:rsid w:val="005F70BD"/>
    <w:rsid w:val="0060283C"/>
    <w:rsid w:val="00604F14"/>
    <w:rsid w:val="00611B83"/>
    <w:rsid w:val="00613257"/>
    <w:rsid w:val="00620A71"/>
    <w:rsid w:val="00620D80"/>
    <w:rsid w:val="006212A9"/>
    <w:rsid w:val="006234A6"/>
    <w:rsid w:val="00630001"/>
    <w:rsid w:val="006311B3"/>
    <w:rsid w:val="0063284C"/>
    <w:rsid w:val="0063438F"/>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4E39"/>
    <w:rsid w:val="006E565E"/>
    <w:rsid w:val="006E673D"/>
    <w:rsid w:val="006E7835"/>
    <w:rsid w:val="006E7D3B"/>
    <w:rsid w:val="006F1B70"/>
    <w:rsid w:val="006F341D"/>
    <w:rsid w:val="006F354B"/>
    <w:rsid w:val="006F3CDE"/>
    <w:rsid w:val="006F3D5D"/>
    <w:rsid w:val="006F58D4"/>
    <w:rsid w:val="0070346E"/>
    <w:rsid w:val="00704EDB"/>
    <w:rsid w:val="00706101"/>
    <w:rsid w:val="00707072"/>
    <w:rsid w:val="00707D61"/>
    <w:rsid w:val="00710ED2"/>
    <w:rsid w:val="00712287"/>
    <w:rsid w:val="00712772"/>
    <w:rsid w:val="007148D3"/>
    <w:rsid w:val="00715B9A"/>
    <w:rsid w:val="00725A7A"/>
    <w:rsid w:val="00726EA6"/>
    <w:rsid w:val="00727208"/>
    <w:rsid w:val="00727680"/>
    <w:rsid w:val="00732461"/>
    <w:rsid w:val="007348B1"/>
    <w:rsid w:val="007362A6"/>
    <w:rsid w:val="00736D7D"/>
    <w:rsid w:val="00740E58"/>
    <w:rsid w:val="00743EA6"/>
    <w:rsid w:val="007445A0"/>
    <w:rsid w:val="0074524B"/>
    <w:rsid w:val="00747D8B"/>
    <w:rsid w:val="00751228"/>
    <w:rsid w:val="007571E1"/>
    <w:rsid w:val="007604B2"/>
    <w:rsid w:val="00765281"/>
    <w:rsid w:val="007657D1"/>
    <w:rsid w:val="00766BAD"/>
    <w:rsid w:val="007730BD"/>
    <w:rsid w:val="007755F2"/>
    <w:rsid w:val="00776971"/>
    <w:rsid w:val="0078177E"/>
    <w:rsid w:val="0078304C"/>
    <w:rsid w:val="00783673"/>
    <w:rsid w:val="00783986"/>
    <w:rsid w:val="00785490"/>
    <w:rsid w:val="007925EA"/>
    <w:rsid w:val="00793CD8"/>
    <w:rsid w:val="00795C92"/>
    <w:rsid w:val="00796231"/>
    <w:rsid w:val="007A1CB3"/>
    <w:rsid w:val="007A306F"/>
    <w:rsid w:val="007A43A6"/>
    <w:rsid w:val="007A58A6"/>
    <w:rsid w:val="007A6A0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9DA"/>
    <w:rsid w:val="00803FAE"/>
    <w:rsid w:val="0080605F"/>
    <w:rsid w:val="00807786"/>
    <w:rsid w:val="00811FCB"/>
    <w:rsid w:val="008158D6"/>
    <w:rsid w:val="00817196"/>
    <w:rsid w:val="008235DB"/>
    <w:rsid w:val="00824AB4"/>
    <w:rsid w:val="00825C42"/>
    <w:rsid w:val="00825D25"/>
    <w:rsid w:val="00827D6F"/>
    <w:rsid w:val="00832BEE"/>
    <w:rsid w:val="008376AC"/>
    <w:rsid w:val="008444E8"/>
    <w:rsid w:val="00844E80"/>
    <w:rsid w:val="00846FE7"/>
    <w:rsid w:val="00856911"/>
    <w:rsid w:val="00857CBD"/>
    <w:rsid w:val="008677FD"/>
    <w:rsid w:val="00867A80"/>
    <w:rsid w:val="008706D4"/>
    <w:rsid w:val="00870F8A"/>
    <w:rsid w:val="008719A4"/>
    <w:rsid w:val="00871D23"/>
    <w:rsid w:val="00874312"/>
    <w:rsid w:val="0087437C"/>
    <w:rsid w:val="00875CD7"/>
    <w:rsid w:val="00876B4D"/>
    <w:rsid w:val="00877F18"/>
    <w:rsid w:val="00884C6F"/>
    <w:rsid w:val="00894A88"/>
    <w:rsid w:val="00895386"/>
    <w:rsid w:val="008A21FF"/>
    <w:rsid w:val="008A2CE2"/>
    <w:rsid w:val="008A30AC"/>
    <w:rsid w:val="008A44B8"/>
    <w:rsid w:val="008A4D59"/>
    <w:rsid w:val="008A51A8"/>
    <w:rsid w:val="008A54C7"/>
    <w:rsid w:val="008A721C"/>
    <w:rsid w:val="008A77D8"/>
    <w:rsid w:val="008B0483"/>
    <w:rsid w:val="008B120C"/>
    <w:rsid w:val="008B51A0"/>
    <w:rsid w:val="008B592A"/>
    <w:rsid w:val="008B7B5C"/>
    <w:rsid w:val="008C0C99"/>
    <w:rsid w:val="008C1156"/>
    <w:rsid w:val="008C2017"/>
    <w:rsid w:val="008C4958"/>
    <w:rsid w:val="008C4BAA"/>
    <w:rsid w:val="008C6AE8"/>
    <w:rsid w:val="008C7573"/>
    <w:rsid w:val="008D34F1"/>
    <w:rsid w:val="008D39D8"/>
    <w:rsid w:val="008D6D1A"/>
    <w:rsid w:val="008E065E"/>
    <w:rsid w:val="008E0927"/>
    <w:rsid w:val="008E121E"/>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2EB"/>
    <w:rsid w:val="00980477"/>
    <w:rsid w:val="00980B8C"/>
    <w:rsid w:val="00985253"/>
    <w:rsid w:val="009853B3"/>
    <w:rsid w:val="00987690"/>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6390"/>
    <w:rsid w:val="009D703C"/>
    <w:rsid w:val="009D718F"/>
    <w:rsid w:val="009E068F"/>
    <w:rsid w:val="009E14E0"/>
    <w:rsid w:val="009E35DB"/>
    <w:rsid w:val="009E47A3"/>
    <w:rsid w:val="009E5053"/>
    <w:rsid w:val="009E78A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1F64"/>
    <w:rsid w:val="00A45B74"/>
    <w:rsid w:val="00A52E1D"/>
    <w:rsid w:val="00A61499"/>
    <w:rsid w:val="00A62A77"/>
    <w:rsid w:val="00A63483"/>
    <w:rsid w:val="00A657D7"/>
    <w:rsid w:val="00A660AC"/>
    <w:rsid w:val="00A67E6C"/>
    <w:rsid w:val="00A71B99"/>
    <w:rsid w:val="00A739D0"/>
    <w:rsid w:val="00A761D4"/>
    <w:rsid w:val="00A77EC4"/>
    <w:rsid w:val="00A8672A"/>
    <w:rsid w:val="00A92879"/>
    <w:rsid w:val="00A9442A"/>
    <w:rsid w:val="00AA016F"/>
    <w:rsid w:val="00AA1ED6"/>
    <w:rsid w:val="00AA37EF"/>
    <w:rsid w:val="00AA51D6"/>
    <w:rsid w:val="00AB0BC8"/>
    <w:rsid w:val="00AB11CA"/>
    <w:rsid w:val="00AB14D9"/>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2CC"/>
    <w:rsid w:val="00AF1C5D"/>
    <w:rsid w:val="00AF42D7"/>
    <w:rsid w:val="00B006FE"/>
    <w:rsid w:val="00B007CB"/>
    <w:rsid w:val="00B02AA9"/>
    <w:rsid w:val="00B02FA3"/>
    <w:rsid w:val="00B05084"/>
    <w:rsid w:val="00B157F9"/>
    <w:rsid w:val="00B20256"/>
    <w:rsid w:val="00B20D09"/>
    <w:rsid w:val="00B2763F"/>
    <w:rsid w:val="00B27AAC"/>
    <w:rsid w:val="00B304F3"/>
    <w:rsid w:val="00B30929"/>
    <w:rsid w:val="00B34C69"/>
    <w:rsid w:val="00B372AA"/>
    <w:rsid w:val="00B40445"/>
    <w:rsid w:val="00B40BEF"/>
    <w:rsid w:val="00B41888"/>
    <w:rsid w:val="00B41BC4"/>
    <w:rsid w:val="00B45A52"/>
    <w:rsid w:val="00B46175"/>
    <w:rsid w:val="00B6188F"/>
    <w:rsid w:val="00B664C7"/>
    <w:rsid w:val="00B739F6"/>
    <w:rsid w:val="00B81A6C"/>
    <w:rsid w:val="00B83CA6"/>
    <w:rsid w:val="00B85DE5"/>
    <w:rsid w:val="00B90F73"/>
    <w:rsid w:val="00B93B59"/>
    <w:rsid w:val="00B9406A"/>
    <w:rsid w:val="00B97752"/>
    <w:rsid w:val="00BA2280"/>
    <w:rsid w:val="00BA2A08"/>
    <w:rsid w:val="00BA56D2"/>
    <w:rsid w:val="00BA76E0"/>
    <w:rsid w:val="00BB1CF9"/>
    <w:rsid w:val="00BB2A25"/>
    <w:rsid w:val="00BB51E9"/>
    <w:rsid w:val="00BC0FDC"/>
    <w:rsid w:val="00BC3053"/>
    <w:rsid w:val="00BC4D2E"/>
    <w:rsid w:val="00BD3C1F"/>
    <w:rsid w:val="00BD48AC"/>
    <w:rsid w:val="00BD5F1A"/>
    <w:rsid w:val="00BE1234"/>
    <w:rsid w:val="00BE21BD"/>
    <w:rsid w:val="00BE2FA6"/>
    <w:rsid w:val="00BE333F"/>
    <w:rsid w:val="00BE7406"/>
    <w:rsid w:val="00BE7603"/>
    <w:rsid w:val="00BF3279"/>
    <w:rsid w:val="00BF6A99"/>
    <w:rsid w:val="00BF74C7"/>
    <w:rsid w:val="00C015F1"/>
    <w:rsid w:val="00C01F33"/>
    <w:rsid w:val="00C02CC6"/>
    <w:rsid w:val="00C040F7"/>
    <w:rsid w:val="00C041B0"/>
    <w:rsid w:val="00C044AB"/>
    <w:rsid w:val="00C05706"/>
    <w:rsid w:val="00C07377"/>
    <w:rsid w:val="00C10478"/>
    <w:rsid w:val="00C11ED2"/>
    <w:rsid w:val="00C12107"/>
    <w:rsid w:val="00C14D4B"/>
    <w:rsid w:val="00C154BB"/>
    <w:rsid w:val="00C279B5"/>
    <w:rsid w:val="00C27C45"/>
    <w:rsid w:val="00C3719D"/>
    <w:rsid w:val="00C54995"/>
    <w:rsid w:val="00C54D41"/>
    <w:rsid w:val="00C60783"/>
    <w:rsid w:val="00C64672"/>
    <w:rsid w:val="00C70697"/>
    <w:rsid w:val="00C72EF4"/>
    <w:rsid w:val="00C73931"/>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1744"/>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959"/>
    <w:rsid w:val="00D708B0"/>
    <w:rsid w:val="00D77B1D"/>
    <w:rsid w:val="00D8021F"/>
    <w:rsid w:val="00D80383"/>
    <w:rsid w:val="00D823C6"/>
    <w:rsid w:val="00D86CA3"/>
    <w:rsid w:val="00D871CE"/>
    <w:rsid w:val="00D9196D"/>
    <w:rsid w:val="00D92982"/>
    <w:rsid w:val="00D95CA9"/>
    <w:rsid w:val="00D96DEB"/>
    <w:rsid w:val="00DA305E"/>
    <w:rsid w:val="00DA5417"/>
    <w:rsid w:val="00DA56E8"/>
    <w:rsid w:val="00DB0A9F"/>
    <w:rsid w:val="00DB377D"/>
    <w:rsid w:val="00DC2D36"/>
    <w:rsid w:val="00DC53EF"/>
    <w:rsid w:val="00DD4178"/>
    <w:rsid w:val="00DD48F8"/>
    <w:rsid w:val="00DE5608"/>
    <w:rsid w:val="00DE58D0"/>
    <w:rsid w:val="00DE654F"/>
    <w:rsid w:val="00DF07CB"/>
    <w:rsid w:val="00DF0B6E"/>
    <w:rsid w:val="00DF15E0"/>
    <w:rsid w:val="00DF37A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7C3E"/>
    <w:rsid w:val="00EF18FE"/>
    <w:rsid w:val="00EF5787"/>
    <w:rsid w:val="00EF60D0"/>
    <w:rsid w:val="00F01760"/>
    <w:rsid w:val="00F04CCB"/>
    <w:rsid w:val="00F0528D"/>
    <w:rsid w:val="00F06C67"/>
    <w:rsid w:val="00F06DFD"/>
    <w:rsid w:val="00F071D1"/>
    <w:rsid w:val="00F07533"/>
    <w:rsid w:val="00F10629"/>
    <w:rsid w:val="00F14320"/>
    <w:rsid w:val="00F154BD"/>
    <w:rsid w:val="00F15FA5"/>
    <w:rsid w:val="00F209B7"/>
    <w:rsid w:val="00F2376F"/>
    <w:rsid w:val="00F243D8"/>
    <w:rsid w:val="00F30828"/>
    <w:rsid w:val="00F313D6"/>
    <w:rsid w:val="00F330D4"/>
    <w:rsid w:val="00F40F0C"/>
    <w:rsid w:val="00F4766C"/>
    <w:rsid w:val="00F507D1"/>
    <w:rsid w:val="00F519CE"/>
    <w:rsid w:val="00F51ADA"/>
    <w:rsid w:val="00F541CA"/>
    <w:rsid w:val="00F56165"/>
    <w:rsid w:val="00F571E3"/>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AAF"/>
    <w:rsid w:val="00F90F8D"/>
    <w:rsid w:val="00F92782"/>
    <w:rsid w:val="00F93AA9"/>
    <w:rsid w:val="00F96985"/>
    <w:rsid w:val="00F97838"/>
    <w:rsid w:val="00FA2BB3"/>
    <w:rsid w:val="00FB4C80"/>
    <w:rsid w:val="00FB6A6A"/>
    <w:rsid w:val="00FC7429"/>
    <w:rsid w:val="00FD07F6"/>
    <w:rsid w:val="00FD1EC8"/>
    <w:rsid w:val="00FD47ED"/>
    <w:rsid w:val="00FD5D7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2B70"/>
    <w:pPr>
      <w:spacing w:after="120"/>
      <w:jc w:val="both"/>
    </w:pPr>
    <w:rPr>
      <w:rFonts w:ascii="Times New Roman" w:eastAsia="Arial Unicode MS" w:hAnsi="Times New Roman"/>
      <w:sz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32B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2B70"/>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1100880475">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2008287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46BB0-11EC-4ED2-BC52-F637905F44A3}">
  <ds:schemaRefs>
    <ds:schemaRef ds:uri="http://schemas.microsoft.com/sharepoint/v3/contenttype/forms"/>
  </ds:schemaRefs>
</ds:datastoreItem>
</file>

<file path=customXml/itemProps2.xml><?xml version="1.0" encoding="utf-8"?>
<ds:datastoreItem xmlns:ds="http://schemas.openxmlformats.org/officeDocument/2006/customXml" ds:itemID="{992A7A08-F1AC-4DB8-8D2A-9FDD4504E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FD8E4C-D00D-4660-B492-7BBF4B75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2018-01-12T16:22:00Z</dcterms:created>
  <dcterms:modified xsi:type="dcterms:W3CDTF">2018-05-05T17:48:00Z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37f8a73a-b195-4278-b4cd-f1549e899fb7</vt:lpwstr>
  </property>
  <property fmtid="{D5CDD505-2E9C-101B-9397-08002B2CF9AE}" pid="3" name="ContentTypeId">
    <vt:lpwstr>0x010100364BACF91AB9B04BA611BD733272C84E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